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both"/>
        <w:rPr>
          <w:rFonts w:ascii="方正小标宋简体" w:eastAsia="方正小标宋简体"/>
          <w:sz w:val="44"/>
          <w:szCs w:val="44"/>
        </w:rPr>
      </w:pPr>
      <w:bookmarkStart w:id="1" w:name="_GoBack"/>
      <w:bookmarkStart w:id="0" w:name="Content"/>
      <w:r>
        <w:rPr>
          <w:rFonts w:hint="eastAsia" w:ascii="方正小标宋简体" w:eastAsia="方正小标宋简体"/>
          <w:sz w:val="44"/>
          <w:szCs w:val="44"/>
        </w:rPr>
        <w:t>嘉兴市新产业重点培育基地认定办法（试行）</w:t>
      </w:r>
    </w:p>
    <w:bookmarkEnd w:id="1"/>
    <w:p>
      <w:pPr>
        <w:adjustRightInd w:val="0"/>
        <w:snapToGrid w:val="0"/>
        <w:spacing w:line="180" w:lineRule="auto"/>
        <w:ind w:firstLine="640" w:firstLineChars="200"/>
        <w:rPr>
          <w:rFonts w:ascii="仿宋_GB2312"/>
          <w:sz w:val="32"/>
          <w:szCs w:val="32"/>
        </w:rPr>
      </w:pPr>
    </w:p>
    <w:p>
      <w:pPr>
        <w:adjustRightInd w:val="0"/>
        <w:snapToGrid w:val="0"/>
        <w:spacing w:line="580" w:lineRule="exact"/>
        <w:ind w:firstLine="640" w:firstLineChars="200"/>
        <w:rPr>
          <w:rFonts w:ascii="仿宋_GB2312"/>
          <w:sz w:val="32"/>
          <w:szCs w:val="32"/>
        </w:rPr>
      </w:pPr>
      <w:r>
        <w:rPr>
          <w:rFonts w:hint="eastAsia" w:ascii="仿宋_GB2312"/>
          <w:sz w:val="32"/>
          <w:szCs w:val="32"/>
        </w:rPr>
        <w:t>为贯彻落实省政府高质量建设“万亩千亿”新产业平台的工作部署，按照市委市政府持续打好高质量发展组合拳的工作要求，加快谋划和推进事关我市长远发展的重大平台、重大产业，引领我市经济质量变革、动力变革和效率变革，特制定本办法。</w:t>
      </w:r>
    </w:p>
    <w:p>
      <w:pPr>
        <w:pStyle w:val="10"/>
        <w:numPr>
          <w:ilvl w:val="0"/>
          <w:numId w:val="1"/>
        </w:numPr>
        <w:adjustRightInd w:val="0"/>
        <w:snapToGrid w:val="0"/>
        <w:spacing w:line="580" w:lineRule="exact"/>
        <w:ind w:left="0" w:firstLine="0" w:firstLineChars="0"/>
        <w:jc w:val="center"/>
        <w:rPr>
          <w:rFonts w:ascii="黑体" w:hAnsi="黑体" w:eastAsia="黑体"/>
          <w:sz w:val="32"/>
          <w:szCs w:val="32"/>
        </w:rPr>
      </w:pPr>
      <w:r>
        <w:rPr>
          <w:rFonts w:hint="eastAsia" w:ascii="黑体" w:hAnsi="黑体" w:eastAsia="黑体"/>
          <w:sz w:val="32"/>
          <w:szCs w:val="32"/>
        </w:rPr>
        <w:t>总则</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概念内涵</w:t>
      </w:r>
      <w:r>
        <w:rPr>
          <w:rFonts w:hint="eastAsia" w:ascii="仿宋_GB2312" w:eastAsia="仿宋_GB2312"/>
          <w:sz w:val="32"/>
          <w:szCs w:val="32"/>
        </w:rPr>
        <w:t>。新产业重点培育基地是指按照对标国际标准、争创国内一流的要求，重点聚焦高新技术产业、战略性新兴产业及重量级的未来产业等新兴产业方向，瞄准“万亩千亿”的发展目标，在重大产业平台内，规划面积5平方公里左右，引领和支撑我市未来发展的新产业园区。</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建设原则。</w:t>
      </w:r>
      <w:r>
        <w:rPr>
          <w:rFonts w:hint="eastAsia" w:ascii="仿宋_GB2312" w:eastAsia="仿宋_GB2312"/>
          <w:sz w:val="32"/>
          <w:szCs w:val="32"/>
        </w:rPr>
        <w:t>遵循创新驱动、高端引领、产城融合、高效运营的基本原则，推动产业链、创新链、资金链、服务链深度融合，打造一流的创新创业生态，积极争创省级“万亩千亿”新产业平台。</w:t>
      </w:r>
    </w:p>
    <w:p>
      <w:pPr>
        <w:pStyle w:val="10"/>
        <w:numPr>
          <w:ilvl w:val="0"/>
          <w:numId w:val="1"/>
        </w:numPr>
        <w:adjustRightInd w:val="0"/>
        <w:snapToGrid w:val="0"/>
        <w:spacing w:line="580" w:lineRule="exact"/>
        <w:ind w:left="0" w:firstLine="0" w:firstLineChars="0"/>
        <w:jc w:val="center"/>
        <w:rPr>
          <w:rFonts w:ascii="黑体" w:hAnsi="黑体" w:eastAsia="黑体"/>
          <w:sz w:val="32"/>
          <w:szCs w:val="32"/>
        </w:rPr>
      </w:pPr>
      <w:r>
        <w:rPr>
          <w:rFonts w:hint="eastAsia" w:ascii="黑体" w:hAnsi="黑体" w:eastAsia="黑体"/>
          <w:sz w:val="32"/>
          <w:szCs w:val="32"/>
        </w:rPr>
        <w:t>申报条件</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要有明确规划。</w:t>
      </w:r>
      <w:r>
        <w:rPr>
          <w:rFonts w:hint="eastAsia" w:ascii="仿宋_GB2312" w:eastAsia="仿宋_GB2312"/>
          <w:sz w:val="32"/>
          <w:szCs w:val="32"/>
        </w:rPr>
        <w:t>新产业重点培育基地规划要与现有土地利用总体规划、城市总体规划及下一轮国土空间规划相衔接，面积5平方公里左右，产业生态环境好，发展潜力大。</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要有标杆项目。</w:t>
      </w:r>
      <w:r>
        <w:rPr>
          <w:rFonts w:hint="eastAsia" w:ascii="仿宋_GB2312" w:eastAsia="仿宋_GB2312"/>
          <w:sz w:val="32"/>
          <w:szCs w:val="32"/>
        </w:rPr>
        <w:t>围绕主导产业已经集聚一批行业龙头企业或领军企业，或者正在招引建设一批标志性、引领性和辐射带动作用的重大项目。</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要有扶持政策。</w:t>
      </w:r>
      <w:r>
        <w:rPr>
          <w:rFonts w:hint="eastAsia" w:ascii="仿宋_GB2312" w:eastAsia="仿宋_GB2312"/>
          <w:sz w:val="32"/>
          <w:szCs w:val="32"/>
        </w:rPr>
        <w:t>新产业重点培育基地所在县（市、区）政府（管委会）高度重视基地发展，具有清晰且明确的发展思路，已经出台或将要出台加快新产业重点培育基地发展的政策，在项目引进、要素保障等方面予以重点倾斜和保障。</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要有领军人才。</w:t>
      </w:r>
      <w:r>
        <w:rPr>
          <w:rFonts w:hint="eastAsia" w:ascii="仿宋_GB2312" w:eastAsia="仿宋_GB2312"/>
          <w:sz w:val="32"/>
          <w:szCs w:val="32"/>
        </w:rPr>
        <w:t>围绕主导产业已经吸引和集聚一批行业领军人才或创新创业团队，在国内对相关行业或产业发展具有一定话语权，是全市相关行业领域的人才高地和智力高地。</w:t>
      </w:r>
    </w:p>
    <w:p>
      <w:pPr>
        <w:pStyle w:val="10"/>
        <w:numPr>
          <w:ilvl w:val="0"/>
          <w:numId w:val="1"/>
        </w:numPr>
        <w:adjustRightInd w:val="0"/>
        <w:snapToGrid w:val="0"/>
        <w:spacing w:line="580" w:lineRule="exact"/>
        <w:ind w:left="0" w:firstLine="0" w:firstLineChars="0"/>
        <w:jc w:val="center"/>
        <w:rPr>
          <w:rFonts w:ascii="黑体" w:hAnsi="黑体" w:eastAsia="黑体"/>
          <w:sz w:val="32"/>
          <w:szCs w:val="32"/>
        </w:rPr>
      </w:pPr>
      <w:r>
        <w:rPr>
          <w:rFonts w:hint="eastAsia" w:ascii="黑体" w:hAnsi="黑体" w:eastAsia="黑体"/>
          <w:sz w:val="32"/>
          <w:szCs w:val="32"/>
        </w:rPr>
        <w:t>工作程序</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各地申报。</w:t>
      </w:r>
      <w:r>
        <w:rPr>
          <w:rFonts w:hint="eastAsia" w:ascii="仿宋_GB2312" w:eastAsia="仿宋_GB2312"/>
          <w:sz w:val="32"/>
          <w:szCs w:val="32"/>
        </w:rPr>
        <w:t>原则上每半年申报一次，由各县（市、区）政府（管委会）向市发展改革委提出申请并报送申报材料。申报材料主要包括新产业重点培育基地的基本情况和建设规划等。</w:t>
      </w:r>
    </w:p>
    <w:p>
      <w:pPr>
        <w:pStyle w:val="10"/>
        <w:numPr>
          <w:ilvl w:val="0"/>
          <w:numId w:val="2"/>
        </w:numPr>
        <w:adjustRightInd w:val="0"/>
        <w:snapToGrid w:val="0"/>
        <w:spacing w:line="580" w:lineRule="exact"/>
        <w:ind w:left="0" w:firstLine="643"/>
        <w:rPr>
          <w:rFonts w:ascii="仿宋_GB2312" w:eastAsia="仿宋_GB2312"/>
          <w:sz w:val="32"/>
          <w:szCs w:val="32"/>
        </w:rPr>
      </w:pPr>
      <w:r>
        <w:rPr>
          <w:rFonts w:hint="eastAsia" w:ascii="楷体_GB2312" w:eastAsia="楷体_GB2312"/>
          <w:b/>
          <w:sz w:val="32"/>
          <w:szCs w:val="32"/>
        </w:rPr>
        <w:t xml:space="preserve"> 组织审核。</w:t>
      </w:r>
      <w:r>
        <w:rPr>
          <w:rFonts w:hint="eastAsia" w:ascii="仿宋_GB2312" w:eastAsia="仿宋_GB2312"/>
          <w:sz w:val="32"/>
          <w:szCs w:val="32"/>
        </w:rPr>
        <w:t>市发展改革委组织专家和市级相关部门（单位）对申报对象进行审核，并提出建议名单。</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公布名单。</w:t>
      </w:r>
      <w:r>
        <w:rPr>
          <w:rFonts w:hint="eastAsia" w:ascii="仿宋_GB2312" w:eastAsia="仿宋_GB2312"/>
          <w:sz w:val="32"/>
          <w:szCs w:val="32"/>
        </w:rPr>
        <w:t>市发展改革委按程序将新产业重点培育基地建议名单报市政府同意后，适时组织进行授牌，并对外公布。</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支持举措。</w:t>
      </w:r>
      <w:r>
        <w:rPr>
          <w:rFonts w:hint="eastAsia" w:ascii="仿宋_GB2312" w:eastAsia="仿宋_GB2312"/>
          <w:sz w:val="32"/>
          <w:szCs w:val="32"/>
        </w:rPr>
        <w:t>引导产业链上下游企业进驻新产业重点培育基地发展，并在项目招引和要素保障方面予以倾斜。</w:t>
      </w:r>
    </w:p>
    <w:p>
      <w:pPr>
        <w:pStyle w:val="10"/>
        <w:adjustRightInd w:val="0"/>
        <w:snapToGrid w:val="0"/>
        <w:spacing w:line="580" w:lineRule="exact"/>
        <w:ind w:firstLine="0" w:firstLineChars="0"/>
        <w:rPr>
          <w:rFonts w:ascii="仿宋_GB2312" w:eastAsia="仿宋_GB2312"/>
          <w:sz w:val="32"/>
          <w:szCs w:val="32"/>
        </w:rPr>
      </w:pPr>
    </w:p>
    <w:p>
      <w:pPr>
        <w:pStyle w:val="10"/>
        <w:numPr>
          <w:ilvl w:val="0"/>
          <w:numId w:val="1"/>
        </w:numPr>
        <w:adjustRightInd w:val="0"/>
        <w:snapToGrid w:val="0"/>
        <w:spacing w:line="580" w:lineRule="exact"/>
        <w:ind w:left="0" w:firstLine="0" w:firstLineChars="0"/>
        <w:jc w:val="center"/>
        <w:rPr>
          <w:rFonts w:ascii="黑体" w:hAnsi="黑体" w:eastAsia="黑体"/>
          <w:sz w:val="32"/>
          <w:szCs w:val="32"/>
        </w:rPr>
      </w:pPr>
      <w:r>
        <w:rPr>
          <w:rFonts w:hint="eastAsia" w:ascii="黑体" w:hAnsi="黑体" w:eastAsia="黑体"/>
          <w:sz w:val="32"/>
          <w:szCs w:val="32"/>
        </w:rPr>
        <w:t>附则</w:t>
      </w:r>
    </w:p>
    <w:p>
      <w:pPr>
        <w:pStyle w:val="10"/>
        <w:numPr>
          <w:ilvl w:val="0"/>
          <w:numId w:val="2"/>
        </w:numPr>
        <w:adjustRightInd w:val="0"/>
        <w:snapToGrid w:val="0"/>
        <w:spacing w:line="580" w:lineRule="exact"/>
        <w:ind w:left="0" w:firstLine="640"/>
        <w:rPr>
          <w:rFonts w:ascii="仿宋_GB2312" w:eastAsia="仿宋_GB2312"/>
          <w:sz w:val="32"/>
          <w:szCs w:val="32"/>
        </w:rPr>
      </w:pPr>
      <w:r>
        <w:rPr>
          <w:rFonts w:hint="eastAsia" w:ascii="仿宋_GB2312" w:eastAsia="仿宋_GB2312"/>
          <w:sz w:val="32"/>
          <w:szCs w:val="32"/>
        </w:rPr>
        <w:t xml:space="preserve"> 本认定办法自发文之日起实施，具体由市发展改革委负责解释。</w:t>
      </w:r>
    </w:p>
    <w:p>
      <w:pPr>
        <w:pStyle w:val="10"/>
        <w:adjustRightInd w:val="0"/>
        <w:snapToGrid w:val="0"/>
        <w:spacing w:line="580" w:lineRule="exact"/>
        <w:ind w:firstLine="0" w:firstLineChars="0"/>
        <w:rPr>
          <w:rFonts w:ascii="仿宋_GB2312" w:eastAsia="仿宋_GB2312"/>
          <w:sz w:val="32"/>
          <w:szCs w:val="32"/>
        </w:rPr>
      </w:pPr>
    </w:p>
    <w:p>
      <w:pPr>
        <w:pStyle w:val="10"/>
        <w:adjustRightInd w:val="0"/>
        <w:snapToGrid w:val="0"/>
        <w:spacing w:line="580" w:lineRule="exact"/>
        <w:ind w:left="640" w:firstLine="0" w:firstLineChars="0"/>
        <w:rPr>
          <w:rFonts w:ascii="仿宋_GB2312" w:eastAsia="仿宋_GB2312"/>
          <w:sz w:val="32"/>
          <w:szCs w:val="32"/>
        </w:rPr>
      </w:pPr>
      <w:r>
        <w:rPr>
          <w:rFonts w:hint="eastAsia" w:ascii="仿宋_GB2312" w:eastAsia="仿宋_GB2312"/>
          <w:sz w:val="32"/>
          <w:szCs w:val="32"/>
        </w:rPr>
        <w:t>附件：1、嘉兴市新产业重点培育基地申报材料编制大纲</w:t>
      </w:r>
    </w:p>
    <w:p>
      <w:pPr>
        <w:pStyle w:val="10"/>
        <w:adjustRightInd w:val="0"/>
        <w:snapToGrid w:val="0"/>
        <w:spacing w:line="580" w:lineRule="exact"/>
        <w:ind w:left="639" w:leftChars="213" w:firstLine="960" w:firstLineChars="300"/>
        <w:rPr>
          <w:rFonts w:ascii="仿宋_GB2312" w:eastAsia="仿宋_GB2312"/>
          <w:sz w:val="32"/>
          <w:szCs w:val="32"/>
        </w:rPr>
      </w:pPr>
      <w:r>
        <w:rPr>
          <w:rFonts w:hint="eastAsia" w:ascii="仿宋_GB2312" w:eastAsia="仿宋_GB2312"/>
          <w:sz w:val="32"/>
          <w:szCs w:val="32"/>
        </w:rPr>
        <w:t>2、嘉兴市新产业重点培育基地申报表</w:t>
      </w:r>
    </w:p>
    <w:p>
      <w:pPr>
        <w:widowControl/>
        <w:adjustRightInd w:val="0"/>
        <w:snapToGrid w:val="0"/>
        <w:spacing w:line="580" w:lineRule="exact"/>
        <w:jc w:val="left"/>
        <w:rPr>
          <w:rFonts w:ascii="黑体" w:hAnsi="黑体" w:eastAsia="黑体"/>
          <w:sz w:val="32"/>
          <w:szCs w:val="32"/>
        </w:rPr>
      </w:pPr>
      <w:r>
        <w:rPr>
          <w:rFonts w:ascii="仿宋_GB2312"/>
          <w:sz w:val="32"/>
          <w:szCs w:val="32"/>
        </w:rPr>
        <w:br w:type="page"/>
      </w:r>
      <w:r>
        <w:rPr>
          <w:rFonts w:hint="eastAsia" w:ascii="黑体" w:hAnsi="黑体" w:eastAsia="黑体"/>
          <w:sz w:val="32"/>
          <w:szCs w:val="32"/>
        </w:rPr>
        <w:t>附件1</w:t>
      </w:r>
    </w:p>
    <w:p>
      <w:pPr>
        <w:adjustRightInd w:val="0"/>
        <w:snapToGrid w:val="0"/>
        <w:spacing w:line="300" w:lineRule="auto"/>
        <w:jc w:val="center"/>
        <w:rPr>
          <w:rFonts w:ascii="方正小标宋简体" w:eastAsia="方正小标宋简体"/>
          <w:sz w:val="44"/>
          <w:szCs w:val="44"/>
        </w:rPr>
      </w:pPr>
    </w:p>
    <w:p>
      <w:pPr>
        <w:adjustRightInd w:val="0"/>
        <w:snapToGrid w:val="0"/>
        <w:spacing w:line="300" w:lineRule="auto"/>
        <w:jc w:val="center"/>
        <w:rPr>
          <w:rFonts w:ascii="方正小标宋简体" w:eastAsia="方正小标宋简体"/>
          <w:sz w:val="44"/>
          <w:szCs w:val="44"/>
        </w:rPr>
      </w:pPr>
      <w:r>
        <w:rPr>
          <w:rFonts w:hint="eastAsia" w:ascii="方正小标宋简体" w:eastAsia="方正小标宋简体"/>
          <w:sz w:val="44"/>
          <w:szCs w:val="44"/>
        </w:rPr>
        <w:t>嘉兴市新产业重点培育基地申报</w:t>
      </w:r>
    </w:p>
    <w:p>
      <w:pPr>
        <w:adjustRightInd w:val="0"/>
        <w:snapToGrid w:val="0"/>
        <w:spacing w:line="300" w:lineRule="auto"/>
        <w:jc w:val="center"/>
        <w:rPr>
          <w:rFonts w:ascii="方正小标宋简体" w:eastAsia="方正小标宋简体"/>
          <w:sz w:val="44"/>
          <w:szCs w:val="44"/>
        </w:rPr>
      </w:pPr>
      <w:r>
        <w:rPr>
          <w:rFonts w:hint="eastAsia" w:ascii="方正小标宋简体" w:eastAsia="方正小标宋简体"/>
          <w:sz w:val="44"/>
          <w:szCs w:val="44"/>
        </w:rPr>
        <w:t>材料编制大纲</w:t>
      </w:r>
    </w:p>
    <w:p>
      <w:pPr>
        <w:pStyle w:val="10"/>
        <w:adjustRightInd w:val="0"/>
        <w:snapToGrid w:val="0"/>
        <w:spacing w:line="180" w:lineRule="auto"/>
        <w:ind w:firstLine="640"/>
        <w:rPr>
          <w:rFonts w:ascii="仿宋_GB2312" w:eastAsia="仿宋_GB2312"/>
          <w:sz w:val="32"/>
          <w:szCs w:val="32"/>
        </w:rPr>
      </w:pPr>
    </w:p>
    <w:p>
      <w:pPr>
        <w:pStyle w:val="10"/>
        <w:adjustRightInd w:val="0"/>
        <w:snapToGrid w:val="0"/>
        <w:spacing w:line="580" w:lineRule="exact"/>
        <w:ind w:firstLine="640"/>
        <w:rPr>
          <w:rFonts w:ascii="黑体" w:hAnsi="黑体" w:eastAsia="黑体"/>
          <w:sz w:val="32"/>
          <w:szCs w:val="32"/>
        </w:rPr>
      </w:pPr>
      <w:r>
        <w:rPr>
          <w:rFonts w:hint="eastAsia" w:ascii="黑体" w:hAnsi="黑体" w:eastAsia="黑体"/>
          <w:sz w:val="32"/>
          <w:szCs w:val="32"/>
        </w:rPr>
        <w:t>一、现实基础</w:t>
      </w:r>
    </w:p>
    <w:p>
      <w:pPr>
        <w:pStyle w:val="1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主要概况和发展优势情况等。</w:t>
      </w:r>
    </w:p>
    <w:p>
      <w:pPr>
        <w:pStyle w:val="10"/>
        <w:adjustRightInd w:val="0"/>
        <w:snapToGrid w:val="0"/>
        <w:spacing w:line="580" w:lineRule="exact"/>
        <w:ind w:firstLine="640"/>
        <w:rPr>
          <w:rFonts w:ascii="黑体" w:hAnsi="黑体" w:eastAsia="黑体"/>
          <w:sz w:val="32"/>
          <w:szCs w:val="32"/>
        </w:rPr>
      </w:pPr>
      <w:r>
        <w:rPr>
          <w:rFonts w:hint="eastAsia" w:ascii="黑体" w:hAnsi="黑体" w:eastAsia="黑体"/>
          <w:sz w:val="32"/>
          <w:szCs w:val="32"/>
        </w:rPr>
        <w:t>二、主要目标</w:t>
      </w:r>
    </w:p>
    <w:p>
      <w:pPr>
        <w:pStyle w:val="1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发展定位、中长期发展目标等（中期目标一般到2022年，远期目标一般到2025年，主要包括产业方向、产业规模、投入产出等方面的具体指标）</w:t>
      </w:r>
    </w:p>
    <w:p>
      <w:pPr>
        <w:pStyle w:val="10"/>
        <w:adjustRightInd w:val="0"/>
        <w:snapToGrid w:val="0"/>
        <w:spacing w:line="580" w:lineRule="exact"/>
        <w:ind w:firstLine="640"/>
        <w:rPr>
          <w:rFonts w:ascii="黑体" w:hAnsi="黑体" w:eastAsia="黑体"/>
          <w:sz w:val="32"/>
          <w:szCs w:val="32"/>
        </w:rPr>
      </w:pPr>
      <w:r>
        <w:rPr>
          <w:rFonts w:hint="eastAsia" w:ascii="黑体" w:hAnsi="黑体" w:eastAsia="黑体"/>
          <w:sz w:val="32"/>
          <w:szCs w:val="32"/>
        </w:rPr>
        <w:t>三、工作举措</w:t>
      </w:r>
    </w:p>
    <w:p>
      <w:pPr>
        <w:pStyle w:val="10"/>
        <w:adjustRightInd w:val="0"/>
        <w:snapToGrid w:val="0"/>
        <w:spacing w:line="580" w:lineRule="exact"/>
        <w:ind w:firstLine="640"/>
        <w:rPr>
          <w:rFonts w:ascii="仿宋_GB2312" w:eastAsia="仿宋_GB2312"/>
          <w:sz w:val="32"/>
          <w:szCs w:val="32"/>
        </w:rPr>
      </w:pPr>
      <w:r>
        <w:rPr>
          <w:rFonts w:hint="eastAsia" w:ascii="仿宋_GB2312" w:eastAsia="仿宋_GB2312"/>
          <w:sz w:val="32"/>
          <w:szCs w:val="32"/>
        </w:rPr>
        <w:t>重点从基础设施建设、项目招引、重大项目推进、创新能力建设、资源要素保障等方面阐述实现发展目标的主要路径和重点工作安排等。（可提供重大产业项目名录及年度工作计划等）</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adjustRightInd w:val="0"/>
        <w:snapToGrid w:val="0"/>
        <w:spacing w:line="300" w:lineRule="auto"/>
        <w:jc w:val="left"/>
        <w:rPr>
          <w:rFonts w:ascii="黑体" w:hAnsi="黑体" w:eastAsia="黑体"/>
          <w:sz w:val="32"/>
          <w:szCs w:val="32"/>
        </w:rPr>
      </w:pPr>
      <w:r>
        <w:br w:type="page"/>
      </w:r>
      <w:r>
        <w:rPr>
          <w:rFonts w:hint="eastAsia" w:ascii="黑体" w:hAnsi="黑体" w:eastAsia="黑体"/>
          <w:sz w:val="32"/>
          <w:szCs w:val="32"/>
        </w:rPr>
        <w:t>附件2</w:t>
      </w:r>
    </w:p>
    <w:p>
      <w:pPr>
        <w:adjustRightInd w:val="0"/>
        <w:snapToGrid w:val="0"/>
        <w:spacing w:line="300" w:lineRule="auto"/>
        <w:jc w:val="center"/>
        <w:rPr>
          <w:rFonts w:ascii="方正小标宋简体" w:eastAsia="方正小标宋简体"/>
          <w:sz w:val="36"/>
          <w:szCs w:val="36"/>
        </w:rPr>
      </w:pPr>
      <w:r>
        <w:rPr>
          <w:rFonts w:hint="eastAsia" w:ascii="方正小标宋简体" w:eastAsia="方正小标宋简体"/>
          <w:sz w:val="36"/>
          <w:szCs w:val="36"/>
        </w:rPr>
        <w:t>嘉兴市新产业重点培育基地申报表</w:t>
      </w:r>
    </w:p>
    <w:p>
      <w:pPr>
        <w:adjustRightInd w:val="0"/>
        <w:snapToGrid w:val="0"/>
        <w:spacing w:beforeLines="50" w:line="300" w:lineRule="auto"/>
        <w:jc w:val="right"/>
        <w:rPr>
          <w:rFonts w:ascii="Calibri" w:hAnsi="Calibri" w:eastAsia="黑体"/>
          <w:sz w:val="24"/>
          <w:szCs w:val="24"/>
        </w:rPr>
      </w:pPr>
      <w:r>
        <w:rPr>
          <w:rFonts w:hint="eastAsia" w:ascii="Calibri" w:hAnsi="Calibri"/>
          <w:sz w:val="28"/>
          <w:szCs w:val="28"/>
        </w:rPr>
        <w:t xml:space="preserve">                            </w:t>
      </w:r>
      <w:r>
        <w:rPr>
          <w:rFonts w:ascii="Calibri" w:hAnsi="Calibri"/>
          <w:sz w:val="28"/>
          <w:szCs w:val="28"/>
        </w:rPr>
        <w:t xml:space="preserve">   </w:t>
      </w:r>
      <w:r>
        <w:rPr>
          <w:rFonts w:ascii="Calibri" w:hAnsi="Calibri"/>
          <w:sz w:val="24"/>
          <w:szCs w:val="24"/>
          <w:u w:val="single"/>
        </w:rPr>
        <w:t xml:space="preserve">    （盖章）  </w:t>
      </w:r>
      <w:r>
        <w:rPr>
          <w:rFonts w:ascii="Calibri" w:hAnsi="Calibri"/>
          <w:sz w:val="24"/>
          <w:szCs w:val="24"/>
        </w:rPr>
        <w:t>县（市</w:t>
      </w:r>
      <w:r>
        <w:rPr>
          <w:rFonts w:hint="eastAsia" w:ascii="Calibri" w:hAnsi="Calibri"/>
          <w:sz w:val="24"/>
          <w:szCs w:val="24"/>
        </w:rPr>
        <w:t>、区</w:t>
      </w:r>
      <w:r>
        <w:rPr>
          <w:rFonts w:ascii="Calibri" w:hAnsi="Calibri"/>
          <w:sz w:val="24"/>
          <w:szCs w:val="24"/>
        </w:rPr>
        <w:t>）</w:t>
      </w:r>
      <w:r>
        <w:rPr>
          <w:rFonts w:hint="eastAsia" w:ascii="Calibri" w:hAnsi="Calibri"/>
          <w:sz w:val="24"/>
          <w:szCs w:val="24"/>
        </w:rPr>
        <w:t>、</w:t>
      </w:r>
      <w:r>
        <w:rPr>
          <w:rFonts w:ascii="Calibri" w:hAnsi="Calibri"/>
          <w:sz w:val="24"/>
          <w:szCs w:val="24"/>
        </w:rPr>
        <w:t>开发区</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1323"/>
        <w:gridCol w:w="352"/>
        <w:gridCol w:w="230"/>
        <w:gridCol w:w="794"/>
        <w:gridCol w:w="24"/>
        <w:gridCol w:w="214"/>
        <w:gridCol w:w="487"/>
        <w:gridCol w:w="120"/>
        <w:gridCol w:w="576"/>
        <w:gridCol w:w="123"/>
        <w:gridCol w:w="344"/>
        <w:gridCol w:w="585"/>
        <w:gridCol w:w="303"/>
        <w:gridCol w:w="42"/>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79" w:type="pct"/>
            <w:shd w:val="clear" w:color="auto" w:fill="auto"/>
            <w:vAlign w:val="center"/>
          </w:tcPr>
          <w:p>
            <w:pPr>
              <w:spacing w:line="360" w:lineRule="exact"/>
              <w:jc w:val="center"/>
              <w:rPr>
                <w:rFonts w:ascii="仿宋_GB2312" w:hAnsi="Calibri"/>
                <w:spacing w:val="-8"/>
                <w:sz w:val="24"/>
                <w:szCs w:val="24"/>
              </w:rPr>
            </w:pPr>
            <w:r>
              <w:rPr>
                <w:rFonts w:hint="eastAsia" w:ascii="仿宋_GB2312"/>
                <w:spacing w:val="-8"/>
                <w:sz w:val="24"/>
                <w:szCs w:val="24"/>
              </w:rPr>
              <w:t>新产业重点培育基地</w:t>
            </w:r>
            <w:r>
              <w:rPr>
                <w:rFonts w:hint="eastAsia" w:ascii="仿宋_GB2312" w:hAnsi="Calibri"/>
                <w:spacing w:val="-8"/>
                <w:sz w:val="24"/>
                <w:szCs w:val="24"/>
              </w:rPr>
              <w:t>名称</w:t>
            </w:r>
          </w:p>
        </w:tc>
        <w:tc>
          <w:tcPr>
            <w:tcW w:w="3821" w:type="pct"/>
            <w:gridSpan w:val="15"/>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360" w:lineRule="exact"/>
              <w:ind w:firstLine="840" w:firstLineChars="350"/>
              <w:contextualSpacing/>
              <w:jc w:val="both"/>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79" w:type="pct"/>
            <w:shd w:val="clear" w:color="auto" w:fill="auto"/>
            <w:vAlign w:val="center"/>
          </w:tcPr>
          <w:p>
            <w:pPr>
              <w:jc w:val="center"/>
              <w:rPr>
                <w:rFonts w:ascii="仿宋_GB2312" w:hAnsi="Calibri"/>
                <w:sz w:val="24"/>
                <w:szCs w:val="24"/>
              </w:rPr>
            </w:pPr>
            <w:r>
              <w:rPr>
                <w:rFonts w:hint="eastAsia" w:ascii="仿宋_GB2312" w:hAnsi="Calibri"/>
                <w:sz w:val="24"/>
                <w:szCs w:val="24"/>
              </w:rPr>
              <w:t>主导产业</w:t>
            </w:r>
          </w:p>
        </w:tc>
        <w:tc>
          <w:tcPr>
            <w:tcW w:w="3821" w:type="pct"/>
            <w:gridSpan w:val="15"/>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179" w:type="pct"/>
            <w:shd w:val="clear" w:color="auto" w:fill="auto"/>
            <w:vAlign w:val="center"/>
          </w:tcPr>
          <w:p>
            <w:pPr>
              <w:jc w:val="center"/>
              <w:rPr>
                <w:rFonts w:ascii="仿宋_GB2312" w:hAnsi="Calibri"/>
                <w:sz w:val="24"/>
                <w:szCs w:val="24"/>
              </w:rPr>
            </w:pPr>
            <w:r>
              <w:rPr>
                <w:rFonts w:hint="eastAsia" w:ascii="仿宋_GB2312" w:hAnsi="Calibri"/>
                <w:sz w:val="24"/>
                <w:szCs w:val="24"/>
              </w:rPr>
              <w:t>隶属平台</w:t>
            </w:r>
          </w:p>
          <w:p>
            <w:pPr>
              <w:jc w:val="center"/>
              <w:rPr>
                <w:rFonts w:ascii="仿宋_GB2312" w:hAnsi="Calibri"/>
                <w:spacing w:val="-12"/>
                <w:w w:val="90"/>
                <w:sz w:val="24"/>
                <w:szCs w:val="24"/>
              </w:rPr>
            </w:pPr>
            <w:r>
              <w:rPr>
                <w:rFonts w:hint="eastAsia" w:ascii="仿宋_GB2312" w:hAnsi="Calibri"/>
                <w:spacing w:val="-12"/>
                <w:w w:val="90"/>
                <w:sz w:val="24"/>
                <w:szCs w:val="24"/>
              </w:rPr>
              <w:t>(全市重大产业平台)</w:t>
            </w:r>
          </w:p>
        </w:tc>
        <w:tc>
          <w:tcPr>
            <w:tcW w:w="1489" w:type="pct"/>
            <w:gridSpan w:val="4"/>
            <w:shd w:val="clear" w:color="auto" w:fill="auto"/>
            <w:vAlign w:val="center"/>
          </w:tcPr>
          <w:p>
            <w:pPr>
              <w:rPr>
                <w:rFonts w:ascii="仿宋_GB2312" w:hAnsi="Calibri"/>
                <w:sz w:val="24"/>
                <w:szCs w:val="24"/>
              </w:rPr>
            </w:pPr>
          </w:p>
        </w:tc>
        <w:tc>
          <w:tcPr>
            <w:tcW w:w="1042" w:type="pct"/>
            <w:gridSpan w:val="7"/>
            <w:shd w:val="clear" w:color="auto" w:fill="auto"/>
            <w:vAlign w:val="center"/>
          </w:tcPr>
          <w:p>
            <w:pPr>
              <w:rPr>
                <w:rFonts w:ascii="仿宋_GB2312" w:hAnsi="Calibri"/>
                <w:sz w:val="24"/>
                <w:szCs w:val="24"/>
              </w:rPr>
            </w:pPr>
            <w:r>
              <w:rPr>
                <w:rFonts w:hint="eastAsia" w:ascii="仿宋_GB2312" w:hAnsi="Calibri"/>
                <w:sz w:val="24"/>
                <w:szCs w:val="24"/>
              </w:rPr>
              <w:t>建设期限</w:t>
            </w:r>
          </w:p>
          <w:p>
            <w:pPr>
              <w:rPr>
                <w:rFonts w:ascii="仿宋_GB2312" w:hAnsi="Calibri"/>
                <w:sz w:val="24"/>
                <w:szCs w:val="24"/>
              </w:rPr>
            </w:pPr>
            <w:r>
              <w:rPr>
                <w:rFonts w:hint="eastAsia" w:ascii="仿宋_GB2312" w:hAnsi="Calibri"/>
                <w:sz w:val="24"/>
                <w:szCs w:val="24"/>
              </w:rPr>
              <w:t>（年月—年月）</w:t>
            </w:r>
          </w:p>
        </w:tc>
        <w:tc>
          <w:tcPr>
            <w:tcW w:w="1289" w:type="pct"/>
            <w:gridSpan w:val="4"/>
            <w:shd w:val="clear" w:color="auto" w:fill="auto"/>
            <w:vAlign w:val="center"/>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79" w:type="pct"/>
            <w:vMerge w:val="restart"/>
            <w:shd w:val="clear" w:color="auto" w:fill="auto"/>
            <w:vAlign w:val="center"/>
          </w:tcPr>
          <w:p>
            <w:pPr>
              <w:jc w:val="center"/>
              <w:rPr>
                <w:rFonts w:ascii="仿宋_GB2312" w:hAnsi="Calibri"/>
                <w:sz w:val="24"/>
                <w:szCs w:val="24"/>
              </w:rPr>
            </w:pPr>
            <w:r>
              <w:rPr>
                <w:rFonts w:hint="eastAsia" w:ascii="仿宋_GB2312" w:hAnsi="Calibri"/>
                <w:sz w:val="24"/>
                <w:szCs w:val="24"/>
              </w:rPr>
              <w:t>开发空间</w:t>
            </w:r>
          </w:p>
        </w:tc>
        <w:tc>
          <w:tcPr>
            <w:tcW w:w="1889" w:type="pct"/>
            <w:gridSpan w:val="7"/>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r>
              <w:rPr>
                <w:rFonts w:hint="eastAsia" w:ascii="仿宋_GB2312" w:eastAsia="仿宋_GB2312"/>
              </w:rPr>
              <w:t>规划面积（平方公里）</w:t>
            </w:r>
          </w:p>
        </w:tc>
        <w:tc>
          <w:tcPr>
            <w:tcW w:w="1932" w:type="pct"/>
            <w:gridSpan w:val="8"/>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79" w:type="pct"/>
            <w:vMerge w:val="continue"/>
            <w:shd w:val="clear" w:color="auto" w:fill="auto"/>
            <w:vAlign w:val="center"/>
          </w:tcPr>
          <w:p>
            <w:pPr>
              <w:jc w:val="center"/>
              <w:rPr>
                <w:rFonts w:ascii="仿宋_GB2312" w:hAnsi="Calibri"/>
                <w:sz w:val="24"/>
                <w:szCs w:val="24"/>
              </w:rPr>
            </w:pPr>
          </w:p>
        </w:tc>
        <w:tc>
          <w:tcPr>
            <w:tcW w:w="924" w:type="pct"/>
            <w:gridSpan w:val="2"/>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300" w:lineRule="exact"/>
              <w:contextualSpacing/>
              <w:jc w:val="both"/>
              <w:rPr>
                <w:rFonts w:ascii="仿宋_GB2312" w:eastAsia="仿宋_GB2312"/>
                <w:spacing w:val="-14"/>
              </w:rPr>
            </w:pPr>
            <w:r>
              <w:rPr>
                <w:rFonts w:hint="eastAsia" w:ascii="仿宋_GB2312" w:eastAsia="仿宋_GB2312"/>
                <w:spacing w:val="-14"/>
              </w:rPr>
              <w:t>#符合城建设规划面积（亩）</w:t>
            </w:r>
          </w:p>
        </w:tc>
        <w:tc>
          <w:tcPr>
            <w:tcW w:w="965" w:type="pct"/>
            <w:gridSpan w:val="5"/>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p>
        </w:tc>
        <w:tc>
          <w:tcPr>
            <w:tcW w:w="965" w:type="pct"/>
            <w:gridSpan w:val="5"/>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300" w:lineRule="exact"/>
              <w:contextualSpacing/>
              <w:jc w:val="both"/>
              <w:rPr>
                <w:rFonts w:ascii="仿宋_GB2312" w:eastAsia="仿宋_GB2312"/>
              </w:rPr>
            </w:pPr>
            <w:r>
              <w:rPr>
                <w:rFonts w:hint="eastAsia" w:ascii="仿宋_GB2312" w:eastAsia="仿宋_GB2312"/>
                <w:spacing w:val="-14"/>
              </w:rPr>
              <w:t>#符合土地利用规划面积（亩）</w:t>
            </w:r>
          </w:p>
        </w:tc>
        <w:tc>
          <w:tcPr>
            <w:tcW w:w="967" w:type="pct"/>
            <w:gridSpan w:val="3"/>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79" w:type="pct"/>
            <w:vMerge w:val="continue"/>
            <w:shd w:val="clear" w:color="auto" w:fill="auto"/>
            <w:vAlign w:val="center"/>
          </w:tcPr>
          <w:p>
            <w:pPr>
              <w:jc w:val="center"/>
              <w:rPr>
                <w:rFonts w:ascii="仿宋_GB2312" w:hAnsi="Calibri"/>
                <w:sz w:val="24"/>
                <w:szCs w:val="24"/>
              </w:rPr>
            </w:pPr>
          </w:p>
        </w:tc>
        <w:tc>
          <w:tcPr>
            <w:tcW w:w="1889" w:type="pct"/>
            <w:gridSpan w:val="7"/>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r>
              <w:rPr>
                <w:rFonts w:hint="eastAsia" w:ascii="仿宋_GB2312" w:eastAsia="仿宋_GB2312"/>
              </w:rPr>
              <w:t>已开发面积（亩）</w:t>
            </w:r>
          </w:p>
        </w:tc>
        <w:tc>
          <w:tcPr>
            <w:tcW w:w="1932" w:type="pct"/>
            <w:gridSpan w:val="8"/>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79" w:type="pct"/>
            <w:vMerge w:val="continue"/>
            <w:shd w:val="clear" w:color="auto" w:fill="auto"/>
            <w:vAlign w:val="center"/>
          </w:tcPr>
          <w:p>
            <w:pPr>
              <w:jc w:val="center"/>
              <w:rPr>
                <w:rFonts w:ascii="仿宋_GB2312" w:hAnsi="Calibri"/>
                <w:sz w:val="24"/>
                <w:szCs w:val="24"/>
              </w:rPr>
            </w:pPr>
          </w:p>
        </w:tc>
        <w:tc>
          <w:tcPr>
            <w:tcW w:w="1889" w:type="pct"/>
            <w:gridSpan w:val="7"/>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r>
              <w:rPr>
                <w:rFonts w:hint="eastAsia" w:ascii="仿宋_GB2312" w:eastAsia="仿宋_GB2312"/>
              </w:rPr>
              <w:t>可开发面积（亩）</w:t>
            </w:r>
          </w:p>
        </w:tc>
        <w:tc>
          <w:tcPr>
            <w:tcW w:w="1932" w:type="pct"/>
            <w:gridSpan w:val="8"/>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40" w:lineRule="exact"/>
              <w:contextualSpacing/>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79" w:type="pct"/>
            <w:vMerge w:val="restart"/>
            <w:shd w:val="clear" w:color="auto" w:fill="auto"/>
            <w:vAlign w:val="center"/>
          </w:tcPr>
          <w:p>
            <w:pPr>
              <w:jc w:val="center"/>
              <w:rPr>
                <w:rFonts w:ascii="仿宋_GB2312" w:hAnsi="Calibri"/>
                <w:sz w:val="24"/>
                <w:szCs w:val="24"/>
              </w:rPr>
            </w:pPr>
            <w:r>
              <w:rPr>
                <w:rFonts w:hint="eastAsia" w:ascii="仿宋_GB2312" w:hAnsi="Calibri"/>
                <w:sz w:val="24"/>
                <w:szCs w:val="24"/>
              </w:rPr>
              <w:t>已投产标志性</w:t>
            </w:r>
          </w:p>
          <w:p>
            <w:pPr>
              <w:jc w:val="center"/>
              <w:rPr>
                <w:rFonts w:ascii="仿宋_GB2312" w:hAnsi="Calibri"/>
                <w:spacing w:val="-8"/>
                <w:sz w:val="24"/>
                <w:szCs w:val="24"/>
              </w:rPr>
            </w:pPr>
            <w:r>
              <w:rPr>
                <w:rFonts w:hint="eastAsia" w:ascii="仿宋_GB2312" w:hAnsi="Calibri"/>
                <w:sz w:val="24"/>
                <w:szCs w:val="24"/>
              </w:rPr>
              <w:t>项目</w:t>
            </w:r>
          </w:p>
        </w:tc>
        <w:tc>
          <w:tcPr>
            <w:tcW w:w="730" w:type="pct"/>
            <w:shd w:val="clear" w:color="auto" w:fill="auto"/>
            <w:vAlign w:val="center"/>
          </w:tcPr>
          <w:p>
            <w:pPr>
              <w:jc w:val="center"/>
              <w:rPr>
                <w:rFonts w:ascii="仿宋_GB2312" w:hAnsi="Calibri"/>
                <w:sz w:val="24"/>
                <w:szCs w:val="24"/>
              </w:rPr>
            </w:pPr>
            <w:r>
              <w:rPr>
                <w:rFonts w:hint="eastAsia" w:ascii="仿宋_GB2312" w:hAnsi="Calibri"/>
                <w:sz w:val="24"/>
                <w:szCs w:val="24"/>
              </w:rPr>
              <w:t>名称</w:t>
            </w:r>
          </w:p>
        </w:tc>
        <w:tc>
          <w:tcPr>
            <w:tcW w:w="772" w:type="pct"/>
            <w:gridSpan w:val="4"/>
            <w:shd w:val="clear" w:color="auto" w:fill="auto"/>
            <w:vAlign w:val="center"/>
          </w:tcPr>
          <w:p>
            <w:pPr>
              <w:jc w:val="center"/>
              <w:rPr>
                <w:rFonts w:ascii="仿宋_GB2312" w:hAnsi="宋体" w:cs="宋体"/>
                <w:spacing w:val="-14"/>
                <w:kern w:val="0"/>
                <w:sz w:val="24"/>
                <w:szCs w:val="24"/>
              </w:rPr>
            </w:pPr>
            <w:r>
              <w:rPr>
                <w:rFonts w:hint="eastAsia" w:ascii="仿宋_GB2312" w:hAnsi="宋体" w:cs="宋体"/>
                <w:spacing w:val="-14"/>
                <w:kern w:val="0"/>
                <w:sz w:val="24"/>
                <w:szCs w:val="24"/>
              </w:rPr>
              <w:t>用地</w:t>
            </w:r>
          </w:p>
          <w:p>
            <w:pPr>
              <w:jc w:val="center"/>
              <w:rPr>
                <w:rFonts w:ascii="仿宋_GB2312" w:hAnsi="Calibri"/>
                <w:sz w:val="24"/>
                <w:szCs w:val="24"/>
              </w:rPr>
            </w:pPr>
            <w:r>
              <w:rPr>
                <w:rFonts w:hint="eastAsia" w:ascii="仿宋_GB2312" w:hAnsi="宋体" w:cs="宋体"/>
                <w:spacing w:val="-14"/>
                <w:kern w:val="0"/>
                <w:sz w:val="24"/>
                <w:szCs w:val="24"/>
              </w:rPr>
              <w:t>（亩）</w:t>
            </w:r>
          </w:p>
        </w:tc>
        <w:tc>
          <w:tcPr>
            <w:tcW w:w="771" w:type="pct"/>
            <w:gridSpan w:val="4"/>
            <w:shd w:val="clear" w:color="auto" w:fill="auto"/>
            <w:vAlign w:val="center"/>
          </w:tcPr>
          <w:p>
            <w:pPr>
              <w:jc w:val="center"/>
              <w:rPr>
                <w:rFonts w:ascii="仿宋_GB2312" w:hAnsi="宋体" w:cs="宋体"/>
                <w:spacing w:val="-14"/>
                <w:kern w:val="0"/>
                <w:sz w:val="24"/>
                <w:szCs w:val="24"/>
              </w:rPr>
            </w:pPr>
            <w:r>
              <w:rPr>
                <w:rFonts w:hint="eastAsia" w:ascii="仿宋_GB2312" w:hAnsi="宋体" w:cs="宋体"/>
                <w:spacing w:val="-14"/>
                <w:kern w:val="0"/>
                <w:sz w:val="24"/>
                <w:szCs w:val="24"/>
              </w:rPr>
              <w:t>总投资</w:t>
            </w:r>
          </w:p>
          <w:p>
            <w:pPr>
              <w:jc w:val="center"/>
              <w:rPr>
                <w:rFonts w:ascii="仿宋_GB2312" w:hAnsi="宋体" w:cs="宋体"/>
                <w:spacing w:val="-14"/>
                <w:kern w:val="0"/>
                <w:sz w:val="24"/>
                <w:szCs w:val="24"/>
              </w:rPr>
            </w:pPr>
            <w:r>
              <w:rPr>
                <w:rFonts w:hint="eastAsia" w:ascii="仿宋_GB2312" w:hAnsi="宋体" w:cs="宋体"/>
                <w:spacing w:val="-14"/>
                <w:kern w:val="0"/>
                <w:sz w:val="24"/>
                <w:szCs w:val="24"/>
              </w:rPr>
              <w:t>（亿元）</w:t>
            </w:r>
          </w:p>
        </w:tc>
        <w:tc>
          <w:tcPr>
            <w:tcW w:w="771" w:type="pct"/>
            <w:gridSpan w:val="5"/>
            <w:shd w:val="clear" w:color="auto" w:fill="auto"/>
            <w:vAlign w:val="center"/>
          </w:tcPr>
          <w:p>
            <w:pPr>
              <w:jc w:val="center"/>
              <w:rPr>
                <w:rFonts w:ascii="仿宋_GB2312" w:hAnsi="宋体" w:cs="宋体"/>
                <w:spacing w:val="-14"/>
                <w:kern w:val="0"/>
                <w:sz w:val="24"/>
                <w:szCs w:val="24"/>
              </w:rPr>
            </w:pPr>
            <w:r>
              <w:rPr>
                <w:rFonts w:hint="eastAsia" w:ascii="仿宋_GB2312" w:hAnsi="宋体" w:cs="宋体"/>
                <w:spacing w:val="-14"/>
                <w:kern w:val="0"/>
                <w:sz w:val="24"/>
                <w:szCs w:val="24"/>
              </w:rPr>
              <w:t>已完成投资（亿元）</w:t>
            </w:r>
          </w:p>
        </w:tc>
        <w:tc>
          <w:tcPr>
            <w:tcW w:w="775" w:type="pct"/>
            <w:shd w:val="clear" w:color="auto" w:fill="auto"/>
            <w:vAlign w:val="center"/>
          </w:tcPr>
          <w:p>
            <w:pPr>
              <w:jc w:val="center"/>
              <w:rPr>
                <w:rFonts w:ascii="仿宋_GB2312" w:hAnsi="宋体" w:cs="宋体"/>
                <w:spacing w:val="-14"/>
                <w:kern w:val="0"/>
                <w:sz w:val="24"/>
                <w:szCs w:val="24"/>
              </w:rPr>
            </w:pPr>
            <w:r>
              <w:rPr>
                <w:rFonts w:hint="eastAsia" w:ascii="仿宋_GB2312" w:hAnsi="宋体" w:cs="宋体"/>
                <w:spacing w:val="-14"/>
                <w:kern w:val="0"/>
                <w:sz w:val="24"/>
                <w:szCs w:val="24"/>
              </w:rPr>
              <w:t>预计产出</w:t>
            </w:r>
          </w:p>
          <w:p>
            <w:pPr>
              <w:jc w:val="center"/>
              <w:rPr>
                <w:rFonts w:ascii="仿宋_GB2312" w:hAnsi="宋体" w:cs="宋体"/>
                <w:spacing w:val="-14"/>
                <w:kern w:val="0"/>
                <w:sz w:val="24"/>
                <w:szCs w:val="24"/>
              </w:rPr>
            </w:pPr>
            <w:r>
              <w:rPr>
                <w:rFonts w:hint="eastAsia" w:ascii="仿宋_GB2312" w:hAnsi="宋体" w:cs="宋体"/>
                <w:spacing w:val="-14"/>
                <w:kern w:val="0"/>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79" w:type="pct"/>
            <w:vMerge w:val="continue"/>
            <w:shd w:val="clear" w:color="auto" w:fill="auto"/>
            <w:vAlign w:val="center"/>
          </w:tcPr>
          <w:p>
            <w:pPr>
              <w:jc w:val="center"/>
              <w:rPr>
                <w:rFonts w:ascii="仿宋_GB2312" w:hAnsi="Calibri"/>
                <w:sz w:val="24"/>
                <w:szCs w:val="24"/>
              </w:rPr>
            </w:pPr>
          </w:p>
        </w:tc>
        <w:tc>
          <w:tcPr>
            <w:tcW w:w="730" w:type="pct"/>
            <w:shd w:val="clear" w:color="auto" w:fill="auto"/>
          </w:tcPr>
          <w:p>
            <w:pPr>
              <w:rPr>
                <w:rFonts w:ascii="仿宋_GB2312" w:hAnsi="Calibri"/>
                <w:sz w:val="24"/>
                <w:szCs w:val="24"/>
              </w:rPr>
            </w:pPr>
          </w:p>
        </w:tc>
        <w:tc>
          <w:tcPr>
            <w:tcW w:w="772" w:type="pct"/>
            <w:gridSpan w:val="4"/>
            <w:shd w:val="clear" w:color="auto" w:fill="auto"/>
          </w:tcPr>
          <w:p>
            <w:pPr>
              <w:rPr>
                <w:rFonts w:ascii="仿宋_GB2312" w:hAnsi="Calibri"/>
                <w:sz w:val="24"/>
                <w:szCs w:val="24"/>
              </w:rPr>
            </w:pPr>
          </w:p>
        </w:tc>
        <w:tc>
          <w:tcPr>
            <w:tcW w:w="771" w:type="pct"/>
            <w:gridSpan w:val="4"/>
            <w:shd w:val="clear" w:color="auto" w:fill="auto"/>
          </w:tcPr>
          <w:p>
            <w:pPr>
              <w:rPr>
                <w:rFonts w:ascii="仿宋_GB2312" w:hAnsi="Calibri"/>
                <w:sz w:val="24"/>
                <w:szCs w:val="24"/>
              </w:rPr>
            </w:pPr>
          </w:p>
        </w:tc>
        <w:tc>
          <w:tcPr>
            <w:tcW w:w="771" w:type="pct"/>
            <w:gridSpan w:val="5"/>
            <w:shd w:val="clear" w:color="auto" w:fill="auto"/>
          </w:tcPr>
          <w:p>
            <w:pPr>
              <w:rPr>
                <w:rFonts w:ascii="仿宋_GB2312" w:hAnsi="Calibri"/>
                <w:sz w:val="24"/>
                <w:szCs w:val="24"/>
              </w:rPr>
            </w:pPr>
          </w:p>
        </w:tc>
        <w:tc>
          <w:tcPr>
            <w:tcW w:w="775" w:type="pct"/>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79" w:type="pct"/>
            <w:vMerge w:val="continue"/>
            <w:shd w:val="clear" w:color="auto" w:fill="auto"/>
            <w:vAlign w:val="center"/>
          </w:tcPr>
          <w:p>
            <w:pPr>
              <w:jc w:val="center"/>
              <w:rPr>
                <w:rFonts w:ascii="仿宋_GB2312" w:hAnsi="Calibri"/>
                <w:sz w:val="24"/>
                <w:szCs w:val="24"/>
              </w:rPr>
            </w:pPr>
          </w:p>
        </w:tc>
        <w:tc>
          <w:tcPr>
            <w:tcW w:w="730" w:type="pct"/>
            <w:shd w:val="clear" w:color="auto" w:fill="auto"/>
          </w:tcPr>
          <w:p>
            <w:pPr>
              <w:rPr>
                <w:rFonts w:ascii="仿宋_GB2312" w:hAnsi="Calibri"/>
                <w:sz w:val="24"/>
                <w:szCs w:val="24"/>
              </w:rPr>
            </w:pPr>
          </w:p>
        </w:tc>
        <w:tc>
          <w:tcPr>
            <w:tcW w:w="772" w:type="pct"/>
            <w:gridSpan w:val="4"/>
            <w:shd w:val="clear" w:color="auto" w:fill="auto"/>
          </w:tcPr>
          <w:p>
            <w:pPr>
              <w:rPr>
                <w:rFonts w:ascii="仿宋_GB2312" w:hAnsi="Calibri"/>
                <w:sz w:val="24"/>
                <w:szCs w:val="24"/>
              </w:rPr>
            </w:pPr>
          </w:p>
        </w:tc>
        <w:tc>
          <w:tcPr>
            <w:tcW w:w="771" w:type="pct"/>
            <w:gridSpan w:val="4"/>
            <w:shd w:val="clear" w:color="auto" w:fill="auto"/>
          </w:tcPr>
          <w:p>
            <w:pPr>
              <w:rPr>
                <w:rFonts w:ascii="仿宋_GB2312" w:hAnsi="Calibri"/>
                <w:sz w:val="24"/>
                <w:szCs w:val="24"/>
              </w:rPr>
            </w:pPr>
          </w:p>
        </w:tc>
        <w:tc>
          <w:tcPr>
            <w:tcW w:w="771" w:type="pct"/>
            <w:gridSpan w:val="5"/>
            <w:shd w:val="clear" w:color="auto" w:fill="auto"/>
          </w:tcPr>
          <w:p>
            <w:pPr>
              <w:rPr>
                <w:rFonts w:ascii="仿宋_GB2312" w:hAnsi="Calibri"/>
                <w:sz w:val="24"/>
                <w:szCs w:val="24"/>
              </w:rPr>
            </w:pPr>
          </w:p>
        </w:tc>
        <w:tc>
          <w:tcPr>
            <w:tcW w:w="775" w:type="pct"/>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79" w:type="pct"/>
            <w:vMerge w:val="continue"/>
            <w:shd w:val="clear" w:color="auto" w:fill="auto"/>
            <w:vAlign w:val="center"/>
          </w:tcPr>
          <w:p>
            <w:pPr>
              <w:jc w:val="center"/>
              <w:rPr>
                <w:rFonts w:ascii="仿宋_GB2312" w:hAnsi="Calibri"/>
                <w:sz w:val="24"/>
                <w:szCs w:val="24"/>
              </w:rPr>
            </w:pPr>
          </w:p>
        </w:tc>
        <w:tc>
          <w:tcPr>
            <w:tcW w:w="730" w:type="pct"/>
            <w:shd w:val="clear" w:color="auto" w:fill="auto"/>
          </w:tcPr>
          <w:p>
            <w:pPr>
              <w:rPr>
                <w:rFonts w:ascii="仿宋_GB2312" w:hAnsi="Calibri"/>
                <w:sz w:val="24"/>
                <w:szCs w:val="24"/>
              </w:rPr>
            </w:pPr>
          </w:p>
        </w:tc>
        <w:tc>
          <w:tcPr>
            <w:tcW w:w="772" w:type="pct"/>
            <w:gridSpan w:val="4"/>
            <w:shd w:val="clear" w:color="auto" w:fill="auto"/>
          </w:tcPr>
          <w:p>
            <w:pPr>
              <w:rPr>
                <w:rFonts w:ascii="仿宋_GB2312" w:hAnsi="Calibri"/>
                <w:sz w:val="24"/>
                <w:szCs w:val="24"/>
              </w:rPr>
            </w:pPr>
          </w:p>
        </w:tc>
        <w:tc>
          <w:tcPr>
            <w:tcW w:w="771" w:type="pct"/>
            <w:gridSpan w:val="4"/>
            <w:shd w:val="clear" w:color="auto" w:fill="auto"/>
          </w:tcPr>
          <w:p>
            <w:pPr>
              <w:rPr>
                <w:rFonts w:ascii="仿宋_GB2312" w:hAnsi="Calibri"/>
                <w:sz w:val="24"/>
                <w:szCs w:val="24"/>
              </w:rPr>
            </w:pPr>
          </w:p>
        </w:tc>
        <w:tc>
          <w:tcPr>
            <w:tcW w:w="771" w:type="pct"/>
            <w:gridSpan w:val="5"/>
            <w:shd w:val="clear" w:color="auto" w:fill="auto"/>
          </w:tcPr>
          <w:p>
            <w:pPr>
              <w:rPr>
                <w:rFonts w:ascii="仿宋_GB2312" w:hAnsi="Calibri"/>
                <w:sz w:val="24"/>
                <w:szCs w:val="24"/>
              </w:rPr>
            </w:pPr>
          </w:p>
        </w:tc>
        <w:tc>
          <w:tcPr>
            <w:tcW w:w="775" w:type="pct"/>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79" w:type="pct"/>
            <w:vMerge w:val="continue"/>
            <w:shd w:val="clear" w:color="auto" w:fill="auto"/>
            <w:vAlign w:val="center"/>
          </w:tcPr>
          <w:p>
            <w:pPr>
              <w:jc w:val="center"/>
              <w:rPr>
                <w:rFonts w:ascii="仿宋_GB2312" w:hAnsi="Calibri"/>
                <w:sz w:val="24"/>
                <w:szCs w:val="24"/>
              </w:rPr>
            </w:pPr>
          </w:p>
        </w:tc>
        <w:tc>
          <w:tcPr>
            <w:tcW w:w="730" w:type="pct"/>
            <w:shd w:val="clear" w:color="auto" w:fill="auto"/>
          </w:tcPr>
          <w:p>
            <w:pPr>
              <w:rPr>
                <w:rFonts w:ascii="仿宋_GB2312" w:hAnsi="Calibri"/>
                <w:sz w:val="24"/>
                <w:szCs w:val="24"/>
              </w:rPr>
            </w:pPr>
          </w:p>
        </w:tc>
        <w:tc>
          <w:tcPr>
            <w:tcW w:w="772" w:type="pct"/>
            <w:gridSpan w:val="4"/>
            <w:shd w:val="clear" w:color="auto" w:fill="auto"/>
          </w:tcPr>
          <w:p>
            <w:pPr>
              <w:rPr>
                <w:rFonts w:ascii="仿宋_GB2312" w:hAnsi="Calibri"/>
                <w:sz w:val="24"/>
                <w:szCs w:val="24"/>
              </w:rPr>
            </w:pPr>
          </w:p>
        </w:tc>
        <w:tc>
          <w:tcPr>
            <w:tcW w:w="771" w:type="pct"/>
            <w:gridSpan w:val="4"/>
            <w:shd w:val="clear" w:color="auto" w:fill="auto"/>
          </w:tcPr>
          <w:p>
            <w:pPr>
              <w:rPr>
                <w:rFonts w:ascii="仿宋_GB2312" w:hAnsi="Calibri"/>
                <w:sz w:val="24"/>
                <w:szCs w:val="24"/>
              </w:rPr>
            </w:pPr>
          </w:p>
        </w:tc>
        <w:tc>
          <w:tcPr>
            <w:tcW w:w="771" w:type="pct"/>
            <w:gridSpan w:val="5"/>
            <w:shd w:val="clear" w:color="auto" w:fill="auto"/>
          </w:tcPr>
          <w:p>
            <w:pPr>
              <w:rPr>
                <w:rFonts w:ascii="仿宋_GB2312" w:hAnsi="Calibri"/>
                <w:sz w:val="24"/>
                <w:szCs w:val="24"/>
              </w:rPr>
            </w:pPr>
          </w:p>
        </w:tc>
        <w:tc>
          <w:tcPr>
            <w:tcW w:w="775" w:type="pct"/>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179" w:type="pct"/>
            <w:vMerge w:val="restart"/>
            <w:shd w:val="clear" w:color="auto" w:fill="auto"/>
            <w:vAlign w:val="center"/>
          </w:tcPr>
          <w:p>
            <w:pPr>
              <w:jc w:val="center"/>
              <w:rPr>
                <w:rFonts w:ascii="仿宋_GB2312" w:hAnsi="Calibri"/>
                <w:sz w:val="24"/>
                <w:szCs w:val="24"/>
              </w:rPr>
            </w:pPr>
          </w:p>
          <w:p>
            <w:pPr>
              <w:jc w:val="center"/>
              <w:rPr>
                <w:rFonts w:ascii="仿宋_GB2312" w:hAnsi="Calibri"/>
                <w:sz w:val="24"/>
                <w:szCs w:val="24"/>
              </w:rPr>
            </w:pPr>
            <w:r>
              <w:rPr>
                <w:rFonts w:hint="eastAsia" w:ascii="仿宋_GB2312" w:hAnsi="Calibri"/>
                <w:sz w:val="24"/>
                <w:szCs w:val="24"/>
              </w:rPr>
              <w:t>已签约或在建</w:t>
            </w:r>
          </w:p>
          <w:p>
            <w:pPr>
              <w:jc w:val="center"/>
              <w:rPr>
                <w:rFonts w:ascii="仿宋_GB2312" w:hAnsi="Calibri"/>
                <w:sz w:val="24"/>
                <w:szCs w:val="24"/>
              </w:rPr>
            </w:pPr>
            <w:r>
              <w:rPr>
                <w:rFonts w:hint="eastAsia" w:ascii="仿宋_GB2312" w:hAnsi="Calibri"/>
                <w:sz w:val="24"/>
                <w:szCs w:val="24"/>
              </w:rPr>
              <w:t>标志性项目</w:t>
            </w:r>
          </w:p>
        </w:tc>
        <w:tc>
          <w:tcPr>
            <w:tcW w:w="1051" w:type="pct"/>
            <w:gridSpan w:val="3"/>
            <w:shd w:val="clear" w:color="auto" w:fill="auto"/>
            <w:vAlign w:val="center"/>
          </w:tcPr>
          <w:p>
            <w:pPr>
              <w:jc w:val="center"/>
              <w:rPr>
                <w:rFonts w:ascii="仿宋_GB2312" w:hAnsi="Calibri"/>
                <w:sz w:val="24"/>
                <w:szCs w:val="24"/>
              </w:rPr>
            </w:pPr>
            <w:r>
              <w:rPr>
                <w:rFonts w:hint="eastAsia" w:ascii="仿宋_GB2312" w:hAnsi="Calibri"/>
                <w:sz w:val="24"/>
                <w:szCs w:val="24"/>
              </w:rPr>
              <w:t>名称</w:t>
            </w:r>
          </w:p>
        </w:tc>
        <w:tc>
          <w:tcPr>
            <w:tcW w:w="904" w:type="pct"/>
            <w:gridSpan w:val="5"/>
            <w:shd w:val="clear" w:color="auto" w:fill="auto"/>
            <w:vAlign w:val="center"/>
          </w:tcPr>
          <w:p>
            <w:pPr>
              <w:jc w:val="center"/>
              <w:rPr>
                <w:rFonts w:ascii="仿宋_GB2312" w:hAnsi="Calibri"/>
                <w:sz w:val="24"/>
                <w:szCs w:val="24"/>
              </w:rPr>
            </w:pPr>
            <w:r>
              <w:rPr>
                <w:rFonts w:hint="eastAsia" w:ascii="仿宋_GB2312" w:hAnsi="宋体" w:cs="宋体"/>
                <w:spacing w:val="-14"/>
                <w:kern w:val="0"/>
                <w:sz w:val="24"/>
                <w:szCs w:val="24"/>
              </w:rPr>
              <w:t>总投资（亿元）</w:t>
            </w:r>
          </w:p>
        </w:tc>
        <w:tc>
          <w:tcPr>
            <w:tcW w:w="1865" w:type="pct"/>
            <w:gridSpan w:val="7"/>
            <w:shd w:val="clear" w:color="auto" w:fill="auto"/>
            <w:vAlign w:val="center"/>
          </w:tcPr>
          <w:p>
            <w:pPr>
              <w:jc w:val="center"/>
              <w:rPr>
                <w:rFonts w:ascii="仿宋_GB2312" w:hAnsi="Calibri"/>
                <w:sz w:val="24"/>
                <w:szCs w:val="24"/>
              </w:rPr>
            </w:pPr>
            <w:r>
              <w:rPr>
                <w:rFonts w:hint="eastAsia" w:ascii="仿宋_GB2312" w:hAnsi="Calibri"/>
                <w:sz w:val="24"/>
                <w:szCs w:val="24"/>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79" w:type="pct"/>
            <w:vMerge w:val="continue"/>
            <w:shd w:val="clear" w:color="auto" w:fill="auto"/>
          </w:tcPr>
          <w:p>
            <w:pPr>
              <w:jc w:val="center"/>
              <w:rPr>
                <w:rFonts w:ascii="仿宋_GB2312" w:hAnsi="Calibri"/>
                <w:sz w:val="24"/>
                <w:szCs w:val="24"/>
              </w:rPr>
            </w:pPr>
          </w:p>
        </w:tc>
        <w:tc>
          <w:tcPr>
            <w:tcW w:w="1051" w:type="pct"/>
            <w:gridSpan w:val="3"/>
            <w:shd w:val="clear" w:color="auto" w:fill="auto"/>
            <w:vAlign w:val="center"/>
          </w:tcPr>
          <w:p>
            <w:pPr>
              <w:jc w:val="center"/>
              <w:rPr>
                <w:rFonts w:ascii="仿宋_GB2312" w:hAnsi="Calibri"/>
                <w:sz w:val="24"/>
                <w:szCs w:val="24"/>
              </w:rPr>
            </w:pPr>
          </w:p>
        </w:tc>
        <w:tc>
          <w:tcPr>
            <w:tcW w:w="904" w:type="pct"/>
            <w:gridSpan w:val="5"/>
            <w:shd w:val="clear" w:color="auto" w:fill="auto"/>
          </w:tcPr>
          <w:p>
            <w:pPr>
              <w:rPr>
                <w:rFonts w:ascii="仿宋_GB2312" w:hAnsi="Calibri"/>
                <w:sz w:val="24"/>
                <w:szCs w:val="24"/>
              </w:rPr>
            </w:pPr>
          </w:p>
        </w:tc>
        <w:tc>
          <w:tcPr>
            <w:tcW w:w="1865" w:type="pct"/>
            <w:gridSpan w:val="7"/>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79" w:type="pct"/>
            <w:vMerge w:val="continue"/>
            <w:shd w:val="clear" w:color="auto" w:fill="auto"/>
          </w:tcPr>
          <w:p>
            <w:pPr>
              <w:jc w:val="center"/>
              <w:rPr>
                <w:rFonts w:ascii="仿宋_GB2312" w:hAnsi="Calibri"/>
                <w:sz w:val="24"/>
                <w:szCs w:val="24"/>
              </w:rPr>
            </w:pPr>
          </w:p>
        </w:tc>
        <w:tc>
          <w:tcPr>
            <w:tcW w:w="1051" w:type="pct"/>
            <w:gridSpan w:val="3"/>
            <w:shd w:val="clear" w:color="auto" w:fill="auto"/>
            <w:vAlign w:val="center"/>
          </w:tcPr>
          <w:p>
            <w:pPr>
              <w:jc w:val="center"/>
              <w:rPr>
                <w:rFonts w:ascii="仿宋_GB2312" w:hAnsi="Calibri"/>
                <w:sz w:val="24"/>
                <w:szCs w:val="24"/>
              </w:rPr>
            </w:pPr>
          </w:p>
        </w:tc>
        <w:tc>
          <w:tcPr>
            <w:tcW w:w="904" w:type="pct"/>
            <w:gridSpan w:val="5"/>
            <w:shd w:val="clear" w:color="auto" w:fill="auto"/>
          </w:tcPr>
          <w:p>
            <w:pPr>
              <w:rPr>
                <w:rFonts w:ascii="仿宋_GB2312" w:hAnsi="Calibri"/>
                <w:sz w:val="24"/>
                <w:szCs w:val="24"/>
              </w:rPr>
            </w:pPr>
          </w:p>
        </w:tc>
        <w:tc>
          <w:tcPr>
            <w:tcW w:w="1865" w:type="pct"/>
            <w:gridSpan w:val="7"/>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79" w:type="pct"/>
            <w:vMerge w:val="continue"/>
            <w:shd w:val="clear" w:color="auto" w:fill="auto"/>
          </w:tcPr>
          <w:p>
            <w:pPr>
              <w:jc w:val="center"/>
              <w:rPr>
                <w:rFonts w:ascii="仿宋_GB2312" w:hAnsi="Calibri"/>
                <w:sz w:val="24"/>
                <w:szCs w:val="24"/>
              </w:rPr>
            </w:pPr>
          </w:p>
        </w:tc>
        <w:tc>
          <w:tcPr>
            <w:tcW w:w="1051" w:type="pct"/>
            <w:gridSpan w:val="3"/>
            <w:shd w:val="clear" w:color="auto" w:fill="auto"/>
            <w:vAlign w:val="center"/>
          </w:tcPr>
          <w:p>
            <w:pPr>
              <w:jc w:val="center"/>
              <w:rPr>
                <w:rFonts w:ascii="仿宋_GB2312" w:hAnsi="Calibri"/>
                <w:sz w:val="24"/>
                <w:szCs w:val="24"/>
              </w:rPr>
            </w:pPr>
          </w:p>
        </w:tc>
        <w:tc>
          <w:tcPr>
            <w:tcW w:w="904" w:type="pct"/>
            <w:gridSpan w:val="5"/>
            <w:shd w:val="clear" w:color="auto" w:fill="auto"/>
          </w:tcPr>
          <w:p>
            <w:pPr>
              <w:rPr>
                <w:rFonts w:ascii="仿宋_GB2312" w:hAnsi="Calibri"/>
                <w:sz w:val="24"/>
                <w:szCs w:val="24"/>
              </w:rPr>
            </w:pPr>
          </w:p>
        </w:tc>
        <w:tc>
          <w:tcPr>
            <w:tcW w:w="1865" w:type="pct"/>
            <w:gridSpan w:val="7"/>
            <w:shd w:val="clear" w:color="auto" w:fill="auto"/>
          </w:tcPr>
          <w:p>
            <w:pPr>
              <w:rPr>
                <w:rFonts w:ascii="仿宋_GB2312"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79" w:type="pct"/>
            <w:shd w:val="clear" w:color="auto" w:fill="auto"/>
            <w:vAlign w:val="center"/>
          </w:tcPr>
          <w:p>
            <w:pPr>
              <w:jc w:val="center"/>
              <w:rPr>
                <w:rFonts w:ascii="仿宋_GB2312" w:hAnsi="Calibri"/>
                <w:sz w:val="24"/>
                <w:szCs w:val="24"/>
              </w:rPr>
            </w:pPr>
            <w:r>
              <w:rPr>
                <w:rFonts w:hint="eastAsia" w:ascii="仿宋_GB2312" w:hAnsi="Calibri"/>
                <w:sz w:val="24"/>
                <w:szCs w:val="24"/>
              </w:rPr>
              <w:t>联系人</w:t>
            </w:r>
          </w:p>
        </w:tc>
        <w:tc>
          <w:tcPr>
            <w:tcW w:w="730" w:type="pct"/>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80" w:lineRule="exact"/>
              <w:contextualSpacing/>
              <w:jc w:val="center"/>
              <w:rPr>
                <w:rFonts w:ascii="仿宋_GB2312" w:eastAsia="仿宋_GB2312"/>
              </w:rPr>
            </w:pPr>
          </w:p>
        </w:tc>
        <w:tc>
          <w:tcPr>
            <w:tcW w:w="890" w:type="pct"/>
            <w:gridSpan w:val="5"/>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80" w:lineRule="exact"/>
              <w:contextualSpacing/>
              <w:jc w:val="center"/>
              <w:rPr>
                <w:rFonts w:ascii="仿宋_GB2312" w:eastAsia="仿宋_GB2312"/>
                <w:spacing w:val="-8"/>
              </w:rPr>
            </w:pPr>
            <w:r>
              <w:rPr>
                <w:rFonts w:hint="eastAsia" w:ascii="仿宋_GB2312" w:eastAsia="仿宋_GB2312"/>
                <w:spacing w:val="-8"/>
              </w:rPr>
              <w:t>单位及职务</w:t>
            </w:r>
          </w:p>
        </w:tc>
        <w:tc>
          <w:tcPr>
            <w:tcW w:w="721" w:type="pct"/>
            <w:gridSpan w:val="4"/>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80" w:lineRule="exact"/>
              <w:contextualSpacing/>
              <w:jc w:val="center"/>
              <w:rPr>
                <w:rFonts w:ascii="仿宋_GB2312" w:eastAsia="仿宋_GB2312"/>
              </w:rPr>
            </w:pPr>
          </w:p>
        </w:tc>
        <w:tc>
          <w:tcPr>
            <w:tcW w:w="680" w:type="pct"/>
            <w:gridSpan w:val="3"/>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80" w:lineRule="exact"/>
              <w:contextualSpacing/>
              <w:jc w:val="center"/>
              <w:rPr>
                <w:rFonts w:ascii="仿宋_GB2312" w:eastAsia="仿宋_GB2312"/>
              </w:rPr>
            </w:pPr>
            <w:r>
              <w:rPr>
                <w:rFonts w:hint="eastAsia" w:ascii="仿宋_GB2312" w:eastAsia="仿宋_GB2312"/>
              </w:rPr>
              <w:t>电话</w:t>
            </w:r>
          </w:p>
        </w:tc>
        <w:tc>
          <w:tcPr>
            <w:tcW w:w="799" w:type="pct"/>
            <w:gridSpan w:val="2"/>
            <w:shd w:val="clear" w:color="auto" w:fill="auto"/>
            <w:vAlign w:val="center"/>
          </w:tcPr>
          <w:p>
            <w:pPr>
              <w:pStyle w:val="4"/>
              <w:widowControl w:val="0"/>
              <w:shd w:val="clear" w:color="auto" w:fill="FFFFFF"/>
              <w:autoSpaceDE w:val="0"/>
              <w:autoSpaceDN w:val="0"/>
              <w:adjustRightInd w:val="0"/>
              <w:snapToGrid w:val="0"/>
              <w:spacing w:before="0" w:beforeAutospacing="0" w:after="0" w:afterAutospacing="0" w:line="480" w:lineRule="exact"/>
              <w:contextualSpacing/>
              <w:jc w:val="center"/>
              <w:rPr>
                <w:rFonts w:ascii="仿宋_GB2312" w:eastAsia="仿宋_GB2312"/>
              </w:rPr>
            </w:pPr>
          </w:p>
        </w:tc>
      </w:tr>
    </w:tbl>
    <w:p>
      <w:pPr>
        <w:spacing w:line="380" w:lineRule="exact"/>
        <w:jc w:val="left"/>
        <w:rPr>
          <w:rFonts w:ascii="仿宋_GB2312" w:hAnsi="Calibri"/>
          <w:spacing w:val="-6"/>
          <w:sz w:val="24"/>
        </w:rPr>
      </w:pPr>
      <w:r>
        <w:rPr>
          <w:rFonts w:hint="eastAsia" w:ascii="仿宋_GB2312" w:hAnsi="Calibri"/>
          <w:spacing w:val="-6"/>
          <w:sz w:val="24"/>
        </w:rPr>
        <w:t>注：可附页提供相关内容材料</w:t>
      </w:r>
    </w:p>
    <w:p>
      <w:pPr>
        <w:rPr>
          <w:rFonts w:ascii="宋体" w:hAnsi="宋体"/>
          <w:b/>
          <w:bCs/>
          <w:color w:val="000000"/>
          <w:sz w:val="28"/>
        </w:rPr>
      </w:pPr>
    </w:p>
    <w:bookmarkEnd w:id="0"/>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rPr>
          <w:rFonts w:ascii="仿宋_GB2312" w:hAnsi="仿宋"/>
          <w:sz w:val="32"/>
          <w:szCs w:val="32"/>
        </w:rPr>
      </w:pPr>
    </w:p>
    <w:p>
      <w:pPr>
        <w:adjustRightInd w:val="0"/>
        <w:snapToGrid w:val="0"/>
        <w:spacing w:line="24" w:lineRule="auto"/>
      </w:pPr>
    </w:p>
    <w:sectPr>
      <w:footerReference r:id="rId3" w:type="default"/>
      <w:footerReference r:id="rId4" w:type="even"/>
      <w:pgSz w:w="11906" w:h="16838"/>
      <w:pgMar w:top="1985" w:right="1474" w:bottom="2041" w:left="1588"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7C10"/>
    <w:multiLevelType w:val="multilevel"/>
    <w:tmpl w:val="42057C10"/>
    <w:lvl w:ilvl="0" w:tentative="0">
      <w:start w:val="1"/>
      <w:numFmt w:val="japaneseCounting"/>
      <w:lvlText w:val="第%1条"/>
      <w:lvlJc w:val="left"/>
      <w:pPr>
        <w:ind w:left="1720" w:hanging="108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4730E22"/>
    <w:multiLevelType w:val="multilevel"/>
    <w:tmpl w:val="54730E22"/>
    <w:lvl w:ilvl="0" w:tentative="0">
      <w:start w:val="1"/>
      <w:numFmt w:val="japaneseCounting"/>
      <w:lvlText w:val="第%1章"/>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62"/>
    <w:rsid w:val="000805DA"/>
    <w:rsid w:val="000808AF"/>
    <w:rsid w:val="00096BD6"/>
    <w:rsid w:val="000B3D47"/>
    <w:rsid w:val="000E2190"/>
    <w:rsid w:val="00100C4D"/>
    <w:rsid w:val="00177F1D"/>
    <w:rsid w:val="00180A9D"/>
    <w:rsid w:val="001878E8"/>
    <w:rsid w:val="00194C76"/>
    <w:rsid w:val="001B73C3"/>
    <w:rsid w:val="001C52E4"/>
    <w:rsid w:val="001F4E90"/>
    <w:rsid w:val="00201F22"/>
    <w:rsid w:val="002068F2"/>
    <w:rsid w:val="002400D9"/>
    <w:rsid w:val="002A444B"/>
    <w:rsid w:val="002B0821"/>
    <w:rsid w:val="002E4FEB"/>
    <w:rsid w:val="0039278B"/>
    <w:rsid w:val="003A6432"/>
    <w:rsid w:val="003B44E5"/>
    <w:rsid w:val="003B4696"/>
    <w:rsid w:val="003C37BA"/>
    <w:rsid w:val="00413ABD"/>
    <w:rsid w:val="00422BD6"/>
    <w:rsid w:val="00470F9D"/>
    <w:rsid w:val="004A07D9"/>
    <w:rsid w:val="004D22C2"/>
    <w:rsid w:val="00523801"/>
    <w:rsid w:val="00544957"/>
    <w:rsid w:val="005650C5"/>
    <w:rsid w:val="00565DB2"/>
    <w:rsid w:val="005673B9"/>
    <w:rsid w:val="00576F65"/>
    <w:rsid w:val="005E2D9C"/>
    <w:rsid w:val="005F5625"/>
    <w:rsid w:val="0062146E"/>
    <w:rsid w:val="006229BA"/>
    <w:rsid w:val="0064068F"/>
    <w:rsid w:val="006447B5"/>
    <w:rsid w:val="00686CB4"/>
    <w:rsid w:val="006D2C6B"/>
    <w:rsid w:val="006F2854"/>
    <w:rsid w:val="00711517"/>
    <w:rsid w:val="007163FB"/>
    <w:rsid w:val="00725768"/>
    <w:rsid w:val="0075454E"/>
    <w:rsid w:val="007923B9"/>
    <w:rsid w:val="007A3BDC"/>
    <w:rsid w:val="007C7661"/>
    <w:rsid w:val="007F12D9"/>
    <w:rsid w:val="007F5ED5"/>
    <w:rsid w:val="00800380"/>
    <w:rsid w:val="00806DA2"/>
    <w:rsid w:val="0085715A"/>
    <w:rsid w:val="00880415"/>
    <w:rsid w:val="008C7025"/>
    <w:rsid w:val="008F35C5"/>
    <w:rsid w:val="00974046"/>
    <w:rsid w:val="009A0FC5"/>
    <w:rsid w:val="009A5F0A"/>
    <w:rsid w:val="009F2498"/>
    <w:rsid w:val="00A201D0"/>
    <w:rsid w:val="00A238AE"/>
    <w:rsid w:val="00A359DF"/>
    <w:rsid w:val="00A37855"/>
    <w:rsid w:val="00A67A03"/>
    <w:rsid w:val="00A90E4D"/>
    <w:rsid w:val="00AA624C"/>
    <w:rsid w:val="00AA7091"/>
    <w:rsid w:val="00AB5334"/>
    <w:rsid w:val="00AB5BCA"/>
    <w:rsid w:val="00B163D2"/>
    <w:rsid w:val="00B81856"/>
    <w:rsid w:val="00BB7233"/>
    <w:rsid w:val="00BC6B72"/>
    <w:rsid w:val="00BD5FAA"/>
    <w:rsid w:val="00BF663C"/>
    <w:rsid w:val="00C13667"/>
    <w:rsid w:val="00C467FF"/>
    <w:rsid w:val="00C46A04"/>
    <w:rsid w:val="00C50311"/>
    <w:rsid w:val="00C84865"/>
    <w:rsid w:val="00CC0F05"/>
    <w:rsid w:val="00CC7640"/>
    <w:rsid w:val="00CD5796"/>
    <w:rsid w:val="00D350A7"/>
    <w:rsid w:val="00D42BF3"/>
    <w:rsid w:val="00D60C0A"/>
    <w:rsid w:val="00D815EA"/>
    <w:rsid w:val="00DA3A10"/>
    <w:rsid w:val="00DB0BC2"/>
    <w:rsid w:val="00DD0632"/>
    <w:rsid w:val="00DF3566"/>
    <w:rsid w:val="00E14C62"/>
    <w:rsid w:val="00E154AA"/>
    <w:rsid w:val="00E16A15"/>
    <w:rsid w:val="00E17FC0"/>
    <w:rsid w:val="00E203C0"/>
    <w:rsid w:val="00E36F93"/>
    <w:rsid w:val="00E4348D"/>
    <w:rsid w:val="00EB24D6"/>
    <w:rsid w:val="00EF7860"/>
    <w:rsid w:val="00F05391"/>
    <w:rsid w:val="00F053AC"/>
    <w:rsid w:val="00F103A5"/>
    <w:rsid w:val="00F37076"/>
    <w:rsid w:val="00F70046"/>
    <w:rsid w:val="00F85ADE"/>
    <w:rsid w:val="00FB1D88"/>
    <w:rsid w:val="00FB365C"/>
    <w:rsid w:val="00FC1FDD"/>
    <w:rsid w:val="00FD422D"/>
    <w:rsid w:val="0A3F43F0"/>
    <w:rsid w:val="23A9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 w:type="paragraph" w:customStyle="1" w:styleId="8">
    <w:name w:val="Char"/>
    <w:basedOn w:val="1"/>
    <w:uiPriority w:val="0"/>
    <w:pPr>
      <w:spacing w:line="360" w:lineRule="auto"/>
      <w:ind w:firstLine="200" w:firstLineChars="200"/>
    </w:pPr>
    <w:rPr>
      <w:rFonts w:ascii="宋体" w:hAnsi="宋体" w:eastAsia="楷体_GB2312" w:cs="宋体"/>
      <w:sz w:val="24"/>
      <w:szCs w:val="24"/>
    </w:rPr>
  </w:style>
  <w:style w:type="character" w:customStyle="1" w:styleId="9">
    <w:name w:val="页脚 Char"/>
    <w:basedOn w:val="6"/>
    <w:link w:val="2"/>
    <w:uiPriority w:val="0"/>
    <w:rPr>
      <w:rFonts w:eastAsia="仿宋_GB2312"/>
      <w:kern w:val="2"/>
      <w:sz w:val="18"/>
      <w:szCs w:val="30"/>
      <w:lang w:val="en-US" w:eastAsia="zh-CN" w:bidi="ar-SA"/>
    </w:rPr>
  </w:style>
  <w:style w:type="paragraph" w:styleId="10">
    <w:name w:val="List Paragraph"/>
    <w:basedOn w:val="1"/>
    <w:qFormat/>
    <w:uiPriority w:val="0"/>
    <w:pPr>
      <w:ind w:firstLine="420" w:firstLineChars="200"/>
    </w:pPr>
    <w:rPr>
      <w:rFonts w:ascii="Calibri" w:hAnsi="Calibri" w:eastAsia="宋体"/>
      <w:sz w:val="21"/>
      <w:szCs w:val="22"/>
    </w:rPr>
  </w:style>
  <w:style w:type="character" w:customStyle="1" w:styleId="11">
    <w:name w:val="页眉 Char"/>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310</Words>
  <Characters>1768</Characters>
  <Lines>14</Lines>
  <Paragraphs>4</Paragraphs>
  <TotalTime>1</TotalTime>
  <ScaleCrop>false</ScaleCrop>
  <LinksUpToDate>false</LinksUpToDate>
  <CharactersWithSpaces>2074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2019-07-03T08:42:00Z</dcterms:created>
  <dc:creator>Administrator</dc:creator>
  <cp:lastModifiedBy>Superman</cp:lastModifiedBy>
  <dcterms:modified xsi:type="dcterms:W3CDTF">2019-11-08T02:03:43Z</dcterms:modified>
  <dc:title>嘉兴市发展和改革委员会文件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