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关于《嘉兴市城市精细化管理专项规划》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的政策解读</w:t>
      </w:r>
    </w:p>
    <w:p>
      <w:pPr>
        <w:spacing w:line="560" w:lineRule="exact"/>
        <w:jc w:val="center"/>
        <w:rPr>
          <w:rFonts w:ascii="方正小标宋简体" w:hAnsi="microsoft yahei" w:eastAsia="方正小标宋简体"/>
          <w:b w:val="0"/>
          <w:bCs w:val="0"/>
          <w:color w:val="000000" w:themeColor="text1"/>
          <w:sz w:val="44"/>
          <w:szCs w:val="48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hint="eastAsia"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经市政府同意，</w:t>
      </w:r>
      <w:r>
        <w:rPr>
          <w:rFonts w:hint="eastAsia"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《嘉兴市城市精细化管理专项规划》（以下简称《规划》）于</w:t>
      </w:r>
      <w:r>
        <w:rPr>
          <w:rFonts w:hint="eastAsia"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2023年</w:t>
      </w:r>
      <w:r>
        <w:rPr>
          <w:rFonts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日印发</w:t>
      </w:r>
      <w:r>
        <w:rPr>
          <w:rFonts w:hint="eastAsia"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。现解读如下：</w:t>
      </w:r>
    </w:p>
    <w:p>
      <w:pPr>
        <w:spacing w:line="560" w:lineRule="exact"/>
        <w:ind w:firstLine="640" w:firstLineChars="200"/>
        <w:rPr>
          <w:rFonts w:ascii="黑体" w:hAnsi="黑体" w:eastAsia="黑体"/>
          <w:b w:val="0"/>
          <w:bCs w:val="0"/>
          <w:color w:val="000000" w:themeColor="text1"/>
          <w:sz w:val="32"/>
          <w:szCs w:val="48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bCs w:val="0"/>
          <w:color w:val="000000" w:themeColor="text1"/>
          <w:sz w:val="32"/>
          <w:szCs w:val="48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一、出台背景</w:t>
      </w:r>
    </w:p>
    <w:p>
      <w:pPr>
        <w:spacing w:line="560" w:lineRule="exact"/>
        <w:ind w:firstLine="640" w:firstLineChars="200"/>
        <w:rPr>
          <w:rFonts w:hint="eastAsia"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城市的竞争力、活力、魅力，都离不开高水平管理。高效能城市治理是推动城市高质量发展、创造高品质生活的重要保障。为推动我市城市管理事业高质量发展，围绕嘉兴市打造长三角城市群重要中心城市的新目标，落实“城市管理应该像绣花一样精细”的重要指示，嘉兴市行政综合执法局组织编制了规划方案，旨在加快推进高效能城市治理，不断完善城市管理和服务，提升城市宜居性，让人民群众在城市生活得更方便、更舒心、更美好，全面提升城市管理治理体系和治理能力现代化水平。</w:t>
      </w:r>
    </w:p>
    <w:p>
      <w:pPr>
        <w:spacing w:line="560" w:lineRule="exact"/>
        <w:ind w:firstLine="640" w:firstLineChars="200"/>
        <w:rPr>
          <w:rFonts w:ascii="黑体" w:hAnsi="黑体" w:eastAsia="黑体"/>
          <w:b w:val="0"/>
          <w:bCs w:val="0"/>
          <w:color w:val="000000" w:themeColor="text1"/>
          <w:sz w:val="32"/>
          <w:szCs w:val="48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bCs w:val="0"/>
          <w:color w:val="000000" w:themeColor="text1"/>
          <w:sz w:val="32"/>
          <w:szCs w:val="48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二、编制过程</w:t>
      </w:r>
    </w:p>
    <w:p>
      <w:pPr>
        <w:spacing w:line="560" w:lineRule="exact"/>
        <w:ind w:firstLine="640" w:firstLineChars="200"/>
        <w:rPr>
          <w:rFonts w:hint="eastAsia"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2023年4月17日，</w:t>
      </w:r>
      <w:r>
        <w:rPr>
          <w:rFonts w:hint="eastAsia"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嘉兴</w:t>
      </w:r>
      <w:r>
        <w:rPr>
          <w:rFonts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市综合行政执法局委托采购代理机构就《规划》进行了竞争性磋商采购，确定了规划</w:t>
      </w:r>
      <w:r>
        <w:rPr>
          <w:rFonts w:hint="eastAsia"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的</w:t>
      </w:r>
      <w:r>
        <w:rPr>
          <w:rFonts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编制单位</w:t>
      </w:r>
      <w:r>
        <w:rPr>
          <w:rFonts w:hint="eastAsia"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为同济大学和长三角（嘉兴）城乡建设设计集团有限公司。</w:t>
      </w:r>
      <w:r>
        <w:rPr>
          <w:rFonts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规划编制过程严格遵循市重大行政决策有关要求，明确工作方案和要求，多次召开调研会、汇报会、审查会、意见征询会、</w:t>
      </w:r>
      <w:r>
        <w:rPr>
          <w:rFonts w:hint="eastAsia"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公众座谈会、</w:t>
      </w:r>
      <w:r>
        <w:rPr>
          <w:rFonts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规划评审会议等</w:t>
      </w:r>
      <w:r>
        <w:rPr>
          <w:rFonts w:hint="eastAsia"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相关会议</w:t>
      </w:r>
      <w:r>
        <w:rPr>
          <w:rFonts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完成政府网站公示，</w:t>
      </w:r>
      <w:r>
        <w:rPr>
          <w:rFonts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积极落实多方意见，完善规划文本，形成规划成果。</w:t>
      </w:r>
      <w:r>
        <w:rPr>
          <w:rFonts w:hint="eastAsia"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《规划》于2023年12月22日通过九届市人民政府第39次常务会议审议，</w:t>
      </w:r>
      <w:r>
        <w:rPr>
          <w:rFonts w:hint="eastAsia"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于2</w:t>
      </w:r>
      <w:r>
        <w:rPr>
          <w:rFonts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023</w:t>
      </w:r>
      <w:r>
        <w:rPr>
          <w:rFonts w:hint="eastAsia"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年1</w:t>
      </w:r>
      <w:r>
        <w:rPr>
          <w:rFonts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日正式印发。</w:t>
      </w:r>
    </w:p>
    <w:p>
      <w:pPr>
        <w:spacing w:line="560" w:lineRule="exact"/>
        <w:ind w:firstLine="640" w:firstLineChars="200"/>
        <w:rPr>
          <w:rFonts w:ascii="黑体" w:hAnsi="黑体" w:eastAsia="黑体"/>
          <w:b w:val="0"/>
          <w:bCs w:val="0"/>
          <w:color w:val="000000" w:themeColor="text1"/>
          <w:sz w:val="32"/>
          <w:szCs w:val="48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 w:val="0"/>
          <w:bCs w:val="0"/>
          <w:color w:val="000000" w:themeColor="text1"/>
          <w:sz w:val="32"/>
          <w:szCs w:val="48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三、主要内容</w:t>
      </w:r>
    </w:p>
    <w:p>
      <w:pPr>
        <w:spacing w:line="560" w:lineRule="exact"/>
        <w:ind w:firstLine="640" w:firstLineChars="200"/>
        <w:rPr>
          <w:rFonts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《规划》的内容包括五个部分，一是发展基础，二是发展形势，三是总体思路，四是主要任务，五是保障措施。</w:t>
      </w:r>
    </w:p>
    <w:p>
      <w:pPr>
        <w:spacing w:line="560" w:lineRule="exact"/>
        <w:ind w:firstLine="640" w:firstLineChars="200"/>
        <w:rPr>
          <w:rFonts w:ascii="楷体" w:hAnsi="楷体" w:eastAsia="楷体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（一）发展基础</w:t>
      </w:r>
    </w:p>
    <w:p>
      <w:pPr>
        <w:spacing w:line="560" w:lineRule="exact"/>
        <w:ind w:firstLine="640" w:firstLineChars="200"/>
        <w:rPr>
          <w:rFonts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一是高位布局，城市管理机制不断完善。二是多措并举，城市环境品质显著提升。三是示范先行，树立城市管理样板。四是创新改革，智慧管理迈上新台阶。五是多元探索，形成共建共治格局。</w:t>
      </w:r>
    </w:p>
    <w:p>
      <w:pPr>
        <w:spacing w:line="560" w:lineRule="exact"/>
        <w:ind w:firstLine="640" w:firstLineChars="200"/>
        <w:rPr>
          <w:rFonts w:ascii="楷体" w:hAnsi="楷体" w:eastAsia="楷体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（二）发展形势</w:t>
      </w:r>
    </w:p>
    <w:p>
      <w:pPr>
        <w:spacing w:line="560" w:lineRule="exact"/>
        <w:ind w:firstLine="640" w:firstLineChars="200"/>
        <w:rPr>
          <w:rFonts w:hint="eastAsia"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在新形势下，嘉兴市进入了“高质量发展、高品质生活”双高发展的新时期，《规划》从现代化城市治理体系、长三角一体化发展战略、人民群众对美好生活向往、数字化改革赋能城市管理四个维度，</w:t>
      </w:r>
      <w:r>
        <w:rPr>
          <w:rFonts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分析了我市城市管理发展面临的新形势、新</w:t>
      </w:r>
      <w:r>
        <w:rPr>
          <w:rFonts w:hint="eastAsia"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格局</w:t>
      </w:r>
      <w:r>
        <w:rPr>
          <w:rFonts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、新</w:t>
      </w:r>
      <w:r>
        <w:rPr>
          <w:rFonts w:hint="eastAsia"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挑战和新模式。</w:t>
      </w:r>
    </w:p>
    <w:p>
      <w:pPr>
        <w:spacing w:line="560" w:lineRule="exact"/>
        <w:ind w:firstLine="640" w:firstLineChars="200"/>
        <w:rPr>
          <w:rFonts w:ascii="楷体" w:hAnsi="楷体" w:eastAsia="楷体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（三）总体思路</w:t>
      </w:r>
    </w:p>
    <w:p>
      <w:pPr>
        <w:spacing w:line="560" w:lineRule="exact"/>
        <w:ind w:firstLine="640" w:firstLineChars="200"/>
        <w:rPr>
          <w:rFonts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《规划》明确了我市未来城市管理的指导思想，提出到</w:t>
      </w:r>
      <w:r>
        <w:rPr>
          <w:rFonts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2027年，初步形成全覆盖、全过程、全天候的城市综合管理体系，城市管理领域各项事业取得长足发展，中心城区城市精细化管理水平全面提升，呈现“四态融合、美美与共”面貌，力争建成城市精细化管理的全国示范。</w:t>
      </w:r>
      <w:r>
        <w:rPr>
          <w:rFonts w:hint="eastAsia"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到</w:t>
      </w:r>
      <w:r>
        <w:rPr>
          <w:rFonts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2035年，城市管理领域基本实现城乡统筹发展，以“绣花”功夫持续推进城市精细化管理，打造国际化品质江南水乡文化名城，推动宜居、韧性、智慧城市建设，助力嘉兴基本建成共同富裕示范典范城市。</w:t>
      </w:r>
    </w:p>
    <w:p>
      <w:pPr>
        <w:spacing w:line="560" w:lineRule="exact"/>
        <w:ind w:firstLine="640" w:firstLineChars="200"/>
        <w:rPr>
          <w:rFonts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围绕嘉兴城市管理水平与长三角高质量一体化发展要求相匹配、与全国城乡融合发展试验区建设目标相适应，对标浙江高质量发展建设共同富裕示范区的典范城市要求，不断推进城市管理领域治理体系和治理能力现代化。</w:t>
      </w:r>
    </w:p>
    <w:p>
      <w:pPr>
        <w:spacing w:line="560" w:lineRule="exact"/>
        <w:ind w:firstLine="640" w:firstLineChars="200"/>
        <w:rPr>
          <w:rFonts w:ascii="楷体" w:hAnsi="楷体" w:eastAsia="楷体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（四）主要任务</w:t>
      </w:r>
    </w:p>
    <w:p>
      <w:pPr>
        <w:spacing w:line="560" w:lineRule="exact"/>
        <w:ind w:firstLine="640" w:firstLineChars="200"/>
        <w:rPr>
          <w:rFonts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为全面提升和系统优化嘉兴城市精细化管理工作，《规划》提出下一阶段全面启动推进的九大任务，细化了</w:t>
      </w:r>
      <w:r>
        <w:rPr>
          <w:rFonts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40余项行动计划。一是着眼高效统筹，加快完善精细治理体系。二是着眼依法治理，加快完善政策法规体系。三是着眼统一适用，加快完善标准规范体系。四是着眼共治共享，加快完善群策群治体系。五是着眼智慧治理，持续深化数字系统赋能。六是着眼洁净有序，全面深化形象提升行动。七是着眼舒适便利，全面深化功能提升行动。八是着眼安全稳定，全面深化韧性提升行动。九是着眼共富先行，全力打造标杆示范场景。</w:t>
      </w:r>
    </w:p>
    <w:p>
      <w:pPr>
        <w:spacing w:line="560" w:lineRule="exact"/>
        <w:ind w:firstLine="640" w:firstLineChars="200"/>
        <w:rPr>
          <w:rFonts w:ascii="楷体" w:hAnsi="楷体" w:eastAsia="楷体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（五）保障措施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《规划》从组织保障、队伍建设、资金保障、监督评价、交流合作以及宣传引导六方面提出了保障措施，进一步强化规划的实施性。</w:t>
      </w:r>
    </w:p>
    <w:p>
      <w:pPr>
        <w:spacing w:line="560" w:lineRule="exact"/>
        <w:ind w:firstLine="640" w:firstLineChars="200"/>
        <w:rPr>
          <w:rFonts w:ascii="黑体" w:hAnsi="黑体" w:eastAsia="黑体" w:cstheme="minorBidi"/>
          <w:b w:val="0"/>
          <w:bCs w:val="0"/>
          <w:color w:val="000000" w:themeColor="text1"/>
          <w:kern w:val="2"/>
          <w:sz w:val="32"/>
          <w:szCs w:val="48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theme="minorBidi"/>
          <w:b w:val="0"/>
          <w:bCs w:val="0"/>
          <w:color w:val="000000" w:themeColor="text1"/>
          <w:kern w:val="2"/>
          <w:sz w:val="32"/>
          <w:szCs w:val="48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四、解读机关、解读人及联系方式</w:t>
      </w:r>
    </w:p>
    <w:p>
      <w:pPr>
        <w:spacing w:line="560" w:lineRule="exact"/>
        <w:ind w:firstLine="640" w:firstLineChars="200"/>
        <w:rPr>
          <w:rFonts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解读机关：</w:t>
      </w:r>
      <w:r>
        <w:rPr>
          <w:rFonts w:hint="eastAsia"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嘉兴市综合行政执法局</w:t>
      </w:r>
    </w:p>
    <w:p>
      <w:pPr>
        <w:spacing w:line="560" w:lineRule="exact"/>
        <w:ind w:firstLine="640" w:firstLineChars="200"/>
        <w:rPr>
          <w:rFonts w:hint="eastAsia"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解读人：</w:t>
      </w:r>
      <w:r>
        <w:rPr>
          <w:rFonts w:hint="eastAsia"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谢添奇</w:t>
      </w:r>
    </w:p>
    <w:p>
      <w:pPr>
        <w:spacing w:line="560" w:lineRule="exact"/>
        <w:ind w:firstLine="640" w:firstLineChars="200"/>
        <w:rPr>
          <w:rFonts w:hint="eastAsia"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联系方式：</w:t>
      </w:r>
      <w:r>
        <w:rPr>
          <w:rFonts w:hint="eastAsia" w:ascii="仿宋_GB2312" w:hAnsi="microsoft yahei" w:eastAsia="仿宋_GB2312"/>
          <w:b w:val="0"/>
          <w:bCs w:val="0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0573-83377237</w:t>
      </w:r>
    </w:p>
    <w:sectPr>
      <w:footerReference r:id="rId3" w:type="default"/>
      <w:pgSz w:w="11906" w:h="16838"/>
      <w:pgMar w:top="1984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icrosoft ya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CzSVju0AAAAAUBAAAPAAAAAAAAAAEAIAAAADgAAABk&#10;cnMvZG93bnJldi54bWxQSwECFAAUAAAACACHTuJAa4X5+zECAABhBAAADgAAAAAAAAABACAAAAA1&#10;AQAAZHJzL2Uyb0RvYy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31"/>
    <w:rsid w:val="000368D9"/>
    <w:rsid w:val="0004521C"/>
    <w:rsid w:val="00174D13"/>
    <w:rsid w:val="002027C2"/>
    <w:rsid w:val="00203476"/>
    <w:rsid w:val="002664EF"/>
    <w:rsid w:val="002A0818"/>
    <w:rsid w:val="002A5AE0"/>
    <w:rsid w:val="003171C5"/>
    <w:rsid w:val="003202A5"/>
    <w:rsid w:val="00387210"/>
    <w:rsid w:val="003A4506"/>
    <w:rsid w:val="003B1058"/>
    <w:rsid w:val="003D08C0"/>
    <w:rsid w:val="0050758E"/>
    <w:rsid w:val="00535734"/>
    <w:rsid w:val="00683CA1"/>
    <w:rsid w:val="00684B9C"/>
    <w:rsid w:val="00692578"/>
    <w:rsid w:val="00716AB1"/>
    <w:rsid w:val="0072420F"/>
    <w:rsid w:val="00735893"/>
    <w:rsid w:val="007C5491"/>
    <w:rsid w:val="007D2C88"/>
    <w:rsid w:val="007D62C6"/>
    <w:rsid w:val="008019FE"/>
    <w:rsid w:val="008151DA"/>
    <w:rsid w:val="008172AD"/>
    <w:rsid w:val="008E6DDC"/>
    <w:rsid w:val="008F72A6"/>
    <w:rsid w:val="00980D49"/>
    <w:rsid w:val="009A28F8"/>
    <w:rsid w:val="009B3F6F"/>
    <w:rsid w:val="009B5270"/>
    <w:rsid w:val="00A33CBB"/>
    <w:rsid w:val="00B35703"/>
    <w:rsid w:val="00B63AA6"/>
    <w:rsid w:val="00BB2BD6"/>
    <w:rsid w:val="00BC3208"/>
    <w:rsid w:val="00BD2982"/>
    <w:rsid w:val="00BE0135"/>
    <w:rsid w:val="00BE3EC9"/>
    <w:rsid w:val="00C54702"/>
    <w:rsid w:val="00C5548A"/>
    <w:rsid w:val="00C77A4C"/>
    <w:rsid w:val="00D114C9"/>
    <w:rsid w:val="00D55A21"/>
    <w:rsid w:val="00D732A0"/>
    <w:rsid w:val="00D86092"/>
    <w:rsid w:val="00DA5CBF"/>
    <w:rsid w:val="00EF7231"/>
    <w:rsid w:val="00F1562B"/>
    <w:rsid w:val="00F57C77"/>
    <w:rsid w:val="00F711BC"/>
    <w:rsid w:val="00F836A3"/>
    <w:rsid w:val="00F90CC8"/>
    <w:rsid w:val="00FF7092"/>
    <w:rsid w:val="CBC0C5F2"/>
    <w:rsid w:val="FFFFF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225</Words>
  <Characters>1283</Characters>
  <Lines>10</Lines>
  <Paragraphs>3</Paragraphs>
  <TotalTime>111</TotalTime>
  <ScaleCrop>false</ScaleCrop>
  <LinksUpToDate>false</LinksUpToDate>
  <CharactersWithSpaces>1505</CharactersWithSpaces>
  <Application>WPS Office_11.8.2.1126_F1E327BC-269C-435d-A152-05C5408002CA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2023-12-21T00:34:00Z</dcterms:created>
  <dc:creator>578883807@qq.com</dc:creator>
  <cp:lastModifiedBy>thtf</cp:lastModifiedBy>
  <dcterms:modified xsi:type="dcterms:W3CDTF">2023-12-28T14:50:51Z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2052-11.8.2.1126</vt:lpwstr>
  </property>
  <property fmtid="{D5CDD505-2E9C-101B-9397-08002B2CF9AE}" pid="3" name="ICV">
    <vt:lpwstr>B4741317AD14A945DA898965E51540F4</vt:lpwstr>
  </property>
</Properties>
</file>