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97"/>
        <w:tblW w:w="0" w:type="auto"/>
        <w:tblInd w:w="0" w:type="dxa"/>
        <w:tblLayout w:type="fixed"/>
        <w:tblCellMar>
          <w:top w:w="0" w:type="dxa"/>
          <w:left w:w="108" w:type="dxa"/>
          <w:bottom w:w="0" w:type="dxa"/>
          <w:right w:w="108" w:type="dxa"/>
        </w:tblCellMar>
      </w:tblPr>
      <w:tblGrid>
        <w:gridCol w:w="7196"/>
        <w:gridCol w:w="1750"/>
      </w:tblGrid>
      <w:tr>
        <w:tblPrEx>
          <w:tblCellMar>
            <w:top w:w="0" w:type="dxa"/>
            <w:left w:w="108" w:type="dxa"/>
            <w:bottom w:w="0" w:type="dxa"/>
            <w:right w:w="108" w:type="dxa"/>
          </w:tblCellMar>
        </w:tblPrEx>
        <w:trPr>
          <w:trHeight w:val="1701" w:hRule="exact"/>
        </w:trPr>
        <w:tc>
          <w:tcPr>
            <w:tcW w:w="7196" w:type="dxa"/>
          </w:tcPr>
          <w:p>
            <w:pPr>
              <w:jc w:val="distribute"/>
              <w:rPr>
                <w:rFonts w:ascii="宋体" w:hAnsi="宋体"/>
                <w:color w:val="FF0000"/>
                <w:w w:val="68"/>
                <w:sz w:val="116"/>
                <w:szCs w:val="116"/>
              </w:rPr>
            </w:pPr>
            <w:bookmarkStart w:id="0" w:name="_GoBack"/>
            <w:bookmarkEnd w:id="0"/>
            <w:r>
              <w:rPr>
                <w:rFonts w:hint="eastAsia" w:ascii="文星简小标宋" w:hAnsi="Calibri" w:eastAsia="文星简小标宋"/>
                <w:bCs/>
                <w:color w:val="FF0000"/>
                <w:w w:val="75"/>
                <w:sz w:val="110"/>
                <w:szCs w:val="110"/>
              </w:rPr>
              <w:t>嘉兴市生态环境局</w:t>
            </w:r>
          </w:p>
        </w:tc>
        <w:tc>
          <w:tcPr>
            <w:tcW w:w="1750" w:type="dxa"/>
            <w:vMerge w:val="restart"/>
            <w:vAlign w:val="center"/>
          </w:tcPr>
          <w:p>
            <w:pPr>
              <w:spacing w:line="1800" w:lineRule="exact"/>
              <w:ind w:left="-315" w:leftChars="-150"/>
              <w:jc w:val="right"/>
              <w:rPr>
                <w:rFonts w:ascii="宋体" w:hAnsi="宋体"/>
                <w:color w:val="FF0000"/>
                <w:w w:val="65"/>
                <w:sz w:val="120"/>
                <w:szCs w:val="120"/>
              </w:rPr>
            </w:pPr>
            <w:r>
              <w:rPr>
                <w:rFonts w:hint="eastAsia" w:ascii="文星简小标宋" w:hAnsi="Calibri" w:eastAsia="文星简小标宋"/>
                <w:bCs/>
                <w:color w:val="FF0000"/>
                <w:w w:val="75"/>
                <w:sz w:val="120"/>
                <w:szCs w:val="120"/>
              </w:rPr>
              <w:t>文件</w:t>
            </w:r>
          </w:p>
        </w:tc>
      </w:tr>
      <w:tr>
        <w:tblPrEx>
          <w:tblCellMar>
            <w:top w:w="0" w:type="dxa"/>
            <w:left w:w="108" w:type="dxa"/>
            <w:bottom w:w="0" w:type="dxa"/>
            <w:right w:w="108" w:type="dxa"/>
          </w:tblCellMar>
        </w:tblPrEx>
        <w:trPr>
          <w:trHeight w:val="1701" w:hRule="exact"/>
        </w:trPr>
        <w:tc>
          <w:tcPr>
            <w:tcW w:w="7196" w:type="dxa"/>
          </w:tcPr>
          <w:p>
            <w:pPr>
              <w:jc w:val="distribute"/>
              <w:rPr>
                <w:rFonts w:ascii="宋体" w:hAnsi="宋体"/>
                <w:color w:val="FF0000"/>
                <w:spacing w:val="-20"/>
                <w:w w:val="68"/>
                <w:sz w:val="116"/>
                <w:szCs w:val="116"/>
              </w:rPr>
            </w:pPr>
            <w:r>
              <w:rPr>
                <w:rFonts w:hint="eastAsia" w:ascii="文星简小标宋" w:hAnsi="Calibri" w:eastAsia="文星简小标宋"/>
                <w:bCs/>
                <w:color w:val="FF0000"/>
                <w:w w:val="75"/>
                <w:sz w:val="110"/>
                <w:szCs w:val="110"/>
              </w:rPr>
              <w:t>嘉兴市财政局</w:t>
            </w:r>
          </w:p>
        </w:tc>
        <w:tc>
          <w:tcPr>
            <w:tcW w:w="1750" w:type="dxa"/>
            <w:vMerge w:val="continue"/>
          </w:tcPr>
          <w:p>
            <w:pPr>
              <w:jc w:val="center"/>
              <w:rPr>
                <w:rFonts w:ascii="宋体" w:hAnsi="宋体"/>
                <w:color w:val="FF0000"/>
                <w:spacing w:val="18"/>
                <w:w w:val="78"/>
                <w:sz w:val="104"/>
              </w:rPr>
            </w:pPr>
          </w:p>
        </w:tc>
      </w:tr>
    </w:tbl>
    <w:p>
      <w:pPr>
        <w:spacing w:line="240" w:lineRule="exact"/>
        <w:rPr>
          <w:color w:val="FF0000"/>
          <w:sz w:val="100"/>
        </w:rPr>
      </w:pPr>
      <w:r>
        <w:pict>
          <v:shape id="_x0000_s2051" o:spid="_x0000_s2051" o:spt="202" type="#_x0000_t202" style="position:absolute;left:0pt;margin-left:314.95pt;margin-top:46.05pt;height:36.55pt;width:149.7pt;mso-position-vertical-relative:page;mso-wrap-distance-bottom:0pt;mso-wrap-distance-top:0pt;z-index:251661312;mso-width-relative:page;mso-height-relative:page;" filled="f" stroked="f" coordsize="21600,21600">
            <v:path/>
            <v:fill on="f" focussize="0,0"/>
            <v:stroke on="f" joinstyle="miter"/>
            <v:imagedata o:title=""/>
            <o:lock v:ext="edit"/>
            <v:textbox>
              <w:txbxContent>
                <w:p>
                  <w:pPr>
                    <w:rPr>
                      <w:sz w:val="32"/>
                      <w:szCs w:val="32"/>
                    </w:rPr>
                  </w:pPr>
                  <w:r>
                    <w:rPr>
                      <w:rFonts w:hAnsi="仿宋_GB2312"/>
                      <w:spacing w:val="-6"/>
                      <w:sz w:val="32"/>
                      <w:szCs w:val="32"/>
                    </w:rPr>
                    <w:t>ZJFC</w:t>
                  </w:r>
                  <w:r>
                    <w:rPr>
                      <w:rFonts w:hint="eastAsia" w:hAnsi="仿宋_GB2312"/>
                      <w:spacing w:val="-6"/>
                      <w:sz w:val="32"/>
                      <w:szCs w:val="32"/>
                    </w:rPr>
                    <w:t xml:space="preserve"> 64</w:t>
                  </w:r>
                  <w:r>
                    <w:rPr>
                      <w:rFonts w:hAnsi="仿宋_GB2312"/>
                      <w:spacing w:val="-6"/>
                      <w:sz w:val="32"/>
                      <w:szCs w:val="32"/>
                    </w:rPr>
                    <w:t>-201</w:t>
                  </w:r>
                  <w:r>
                    <w:rPr>
                      <w:rFonts w:hint="eastAsia" w:hAnsi="仿宋_GB2312"/>
                      <w:spacing w:val="-6"/>
                      <w:sz w:val="32"/>
                      <w:szCs w:val="32"/>
                    </w:rPr>
                    <w:t>9</w:t>
                  </w:r>
                  <w:r>
                    <w:rPr>
                      <w:rFonts w:hAnsi="仿宋_GB2312"/>
                      <w:spacing w:val="-6"/>
                      <w:sz w:val="32"/>
                      <w:szCs w:val="32"/>
                    </w:rPr>
                    <w:t>-000</w:t>
                  </w:r>
                  <w:r>
                    <w:rPr>
                      <w:rFonts w:hint="eastAsia" w:hAnsi="仿宋_GB2312"/>
                      <w:spacing w:val="-6"/>
                      <w:sz w:val="32"/>
                      <w:szCs w:val="32"/>
                    </w:rPr>
                    <w:t>1</w:t>
                  </w:r>
                </w:p>
              </w:txbxContent>
            </v:textbox>
            <w10:wrap type="topAndBottom"/>
          </v:shape>
        </w:pict>
      </w:r>
    </w:p>
    <w:p>
      <w:pPr>
        <w:jc w:val="center"/>
        <w:rPr>
          <w:rFonts w:ascii="仿宋_GB2312" w:eastAsia="仿宋_GB2312"/>
          <w:sz w:val="32"/>
        </w:rPr>
      </w:pPr>
      <w:r>
        <w:rPr>
          <w:rFonts w:hint="eastAsia" w:ascii="仿宋_GB2312" w:eastAsia="仿宋_GB2312"/>
          <w:sz w:val="32"/>
        </w:rPr>
        <w:t>嘉环发〔2019〕74号</w:t>
      </w:r>
    </w:p>
    <w:p>
      <w:pPr>
        <w:spacing w:line="560" w:lineRule="exact"/>
      </w:pPr>
      <w:r>
        <w:pict>
          <v:line id="直线 4" o:spid="_x0000_s2050" o:spt="20" style="position:absolute;left:0pt;margin-left:0.7pt;margin-top:325.65pt;height:0pt;width:441pt;mso-position-vertical-relative:page;z-index:251660288;mso-width-relative:page;mso-height-relative:page;" stroked="t" coordsize="21600,21600" o:allowincell="f">
            <v:path arrowok="t"/>
            <v:fill focussize="0,0"/>
            <v:stroke weight="3pt" color="#FF0000"/>
            <v:imagedata o:title=""/>
            <o:lock v:ext="edit"/>
          </v:line>
        </w:pict>
      </w:r>
    </w:p>
    <w:p>
      <w:pPr>
        <w:spacing w:line="560" w:lineRule="exact"/>
      </w:pPr>
    </w:p>
    <w:p>
      <w:pPr>
        <w:spacing w:line="560" w:lineRule="exact"/>
        <w:jc w:val="center"/>
        <w:rPr>
          <w:rFonts w:ascii="宋体" w:hAnsi="宋体"/>
          <w:color w:val="0C0C0C"/>
          <w:sz w:val="44"/>
          <w:szCs w:val="44"/>
        </w:rPr>
      </w:pPr>
      <w:r>
        <w:rPr>
          <w:rFonts w:hint="eastAsia" w:ascii="宋体" w:hAnsi="宋体"/>
          <w:color w:val="0C0C0C"/>
          <w:sz w:val="44"/>
          <w:szCs w:val="44"/>
        </w:rPr>
        <w:t xml:space="preserve">嘉兴市生态环境局 </w:t>
      </w:r>
      <w:r>
        <w:rPr>
          <w:rFonts w:hint="eastAsia" w:ascii="宋体" w:hAnsi="宋体" w:cs="宋体"/>
          <w:color w:val="0C0C0C"/>
          <w:sz w:val="44"/>
          <w:szCs w:val="44"/>
        </w:rPr>
        <w:t xml:space="preserve"> </w:t>
      </w:r>
      <w:r>
        <w:rPr>
          <w:rFonts w:hint="eastAsia" w:ascii="宋体" w:hAnsi="宋体"/>
          <w:color w:val="0C0C0C"/>
          <w:sz w:val="44"/>
          <w:szCs w:val="44"/>
        </w:rPr>
        <w:t>嘉兴市财政局</w:t>
      </w:r>
    </w:p>
    <w:p>
      <w:pPr>
        <w:spacing w:line="560" w:lineRule="exact"/>
        <w:jc w:val="center"/>
        <w:rPr>
          <w:rFonts w:ascii="宋体" w:hAnsi="宋体"/>
          <w:color w:val="0C0C0C"/>
          <w:sz w:val="44"/>
          <w:szCs w:val="44"/>
        </w:rPr>
      </w:pPr>
      <w:r>
        <w:rPr>
          <w:rFonts w:hint="eastAsia" w:ascii="宋体" w:hAnsi="宋体"/>
          <w:color w:val="0C0C0C"/>
          <w:sz w:val="44"/>
          <w:szCs w:val="44"/>
        </w:rPr>
        <w:t>关于印发《嘉兴市级生态环境违法行为</w:t>
      </w:r>
    </w:p>
    <w:p>
      <w:pPr>
        <w:spacing w:line="560" w:lineRule="exact"/>
        <w:jc w:val="center"/>
        <w:rPr>
          <w:rFonts w:ascii="宋体" w:hAnsi="宋体"/>
          <w:color w:val="0C0C0C"/>
          <w:sz w:val="44"/>
          <w:szCs w:val="44"/>
        </w:rPr>
      </w:pPr>
      <w:r>
        <w:rPr>
          <w:rFonts w:hint="eastAsia" w:ascii="宋体" w:hAnsi="宋体"/>
          <w:color w:val="0C0C0C"/>
          <w:sz w:val="44"/>
          <w:szCs w:val="44"/>
        </w:rPr>
        <w:t>举报奖励暂行办法》的通知</w:t>
      </w:r>
    </w:p>
    <w:p>
      <w:pPr>
        <w:spacing w:line="560" w:lineRule="exact"/>
        <w:rPr>
          <w:rFonts w:ascii="仿宋_GB2312" w:eastAsia="仿宋_GB2312"/>
          <w:color w:val="0C0C0C"/>
          <w:sz w:val="32"/>
          <w:szCs w:val="32"/>
        </w:rPr>
      </w:pPr>
    </w:p>
    <w:p>
      <w:pPr>
        <w:spacing w:line="560" w:lineRule="exact"/>
        <w:rPr>
          <w:rFonts w:eastAsia="仿宋_GB2312"/>
          <w:color w:val="000000"/>
          <w:sz w:val="32"/>
          <w:szCs w:val="20"/>
        </w:rPr>
      </w:pPr>
      <w:r>
        <w:rPr>
          <w:rFonts w:hint="eastAsia" w:eastAsia="仿宋_GB2312"/>
          <w:color w:val="000000"/>
          <w:sz w:val="32"/>
          <w:szCs w:val="20"/>
        </w:rPr>
        <w:t>市生态环境局各县（市、区）分局，嘉兴经开区环保局、嘉兴港区环保局，各县（市、区）财政局：</w:t>
      </w:r>
    </w:p>
    <w:p>
      <w:pPr>
        <w:spacing w:line="560" w:lineRule="exact"/>
        <w:ind w:firstLine="640" w:firstLineChars="200"/>
        <w:rPr>
          <w:rFonts w:eastAsia="仿宋_GB2312"/>
          <w:color w:val="000000"/>
          <w:sz w:val="32"/>
          <w:szCs w:val="20"/>
        </w:rPr>
      </w:pPr>
      <w:r>
        <w:rPr>
          <w:rFonts w:hint="eastAsia" w:eastAsia="仿宋_GB2312"/>
          <w:color w:val="000000"/>
          <w:sz w:val="32"/>
          <w:szCs w:val="20"/>
        </w:rPr>
        <w:t>现将《嘉兴市级生态环境违法行为举报奖励暂行办法》印发给你们，自</w:t>
      </w:r>
      <w:r>
        <w:rPr>
          <w:rFonts w:hint="eastAsia" w:ascii="仿宋_GB2312" w:eastAsia="仿宋_GB2312"/>
          <w:color w:val="000000"/>
          <w:sz w:val="32"/>
          <w:szCs w:val="20"/>
        </w:rPr>
        <w:t>2019年12月15日</w:t>
      </w:r>
      <w:r>
        <w:rPr>
          <w:rFonts w:hint="eastAsia" w:eastAsia="仿宋_GB2312"/>
          <w:color w:val="000000"/>
          <w:sz w:val="32"/>
          <w:szCs w:val="20"/>
        </w:rPr>
        <w:t>起施行，请参照执行。原《嘉兴市环境违法行为举报奖励办法》（嘉环监察〔</w:t>
      </w:r>
      <w:r>
        <w:rPr>
          <w:rFonts w:hint="eastAsia" w:ascii="仿宋_GB2312" w:eastAsia="仿宋_GB2312"/>
          <w:color w:val="000000"/>
          <w:sz w:val="32"/>
          <w:szCs w:val="20"/>
        </w:rPr>
        <w:t>2004〕070</w:t>
      </w:r>
      <w:r>
        <w:rPr>
          <w:rFonts w:hint="eastAsia" w:eastAsia="仿宋_GB2312"/>
          <w:color w:val="000000"/>
          <w:sz w:val="32"/>
          <w:szCs w:val="20"/>
        </w:rPr>
        <w:t>号）自本办法施行之日起废止。</w:t>
      </w:r>
    </w:p>
    <w:p>
      <w:pPr>
        <w:spacing w:line="560" w:lineRule="exact"/>
        <w:ind w:firstLine="640" w:firstLineChars="200"/>
        <w:rPr>
          <w:rFonts w:ascii="仿宋_GB2312" w:eastAsia="仿宋_GB2312"/>
          <w:color w:val="000000"/>
          <w:sz w:val="32"/>
          <w:szCs w:val="32"/>
        </w:rPr>
      </w:pPr>
    </w:p>
    <w:p>
      <w:pPr>
        <w:spacing w:line="56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 xml:space="preserve"> 嘉兴市生态环境局          嘉兴市财政局</w:t>
      </w:r>
    </w:p>
    <w:p>
      <w:pPr>
        <w:spacing w:line="560" w:lineRule="exact"/>
        <w:ind w:firstLine="960" w:firstLineChars="300"/>
        <w:rPr>
          <w:rFonts w:ascii="仿宋_GB2312" w:eastAsia="仿宋_GB2312"/>
          <w:color w:val="000000"/>
          <w:sz w:val="32"/>
          <w:szCs w:val="32"/>
        </w:rPr>
      </w:pPr>
      <w:r>
        <w:rPr>
          <w:rFonts w:hint="eastAsia" w:ascii="仿宋_GB2312" w:eastAsia="仿宋_GB2312"/>
          <w:color w:val="000000"/>
          <w:sz w:val="32"/>
          <w:szCs w:val="32"/>
        </w:rPr>
        <w:t xml:space="preserve">                              2019年11月11日</w:t>
      </w:r>
    </w:p>
    <w:p>
      <w:pPr>
        <w:adjustRightInd w:val="0"/>
        <w:snapToGrid w:val="0"/>
        <w:spacing w:line="560" w:lineRule="exact"/>
        <w:ind w:firstLine="640" w:firstLineChars="200"/>
        <w:rPr>
          <w:rFonts w:ascii="仿宋_GB2312" w:hAnsi="宋体" w:eastAsia="仿宋_GB2312" w:cs="宋体"/>
          <w:color w:val="000000"/>
          <w:kern w:val="0"/>
          <w:sz w:val="32"/>
          <w:szCs w:val="32"/>
        </w:rPr>
        <w:sectPr>
          <w:footerReference r:id="rId3" w:type="default"/>
          <w:footerReference r:id="rId4" w:type="even"/>
          <w:pgSz w:w="11906" w:h="16838"/>
          <w:pgMar w:top="2098" w:right="1588" w:bottom="1814" w:left="1588" w:header="851" w:footer="1191" w:gutter="0"/>
          <w:cols w:space="720" w:num="1"/>
          <w:docGrid w:type="lines" w:linePitch="312" w:charSpace="0"/>
        </w:sectPr>
      </w:pPr>
    </w:p>
    <w:p>
      <w:pPr>
        <w:spacing w:line="560" w:lineRule="exact"/>
        <w:jc w:val="center"/>
        <w:rPr>
          <w:rFonts w:ascii="宋体" w:hAnsi="宋体" w:cs="创艺简标宋"/>
          <w:color w:val="000000"/>
          <w:sz w:val="44"/>
          <w:szCs w:val="44"/>
        </w:rPr>
      </w:pPr>
    </w:p>
    <w:p>
      <w:pPr>
        <w:spacing w:line="560" w:lineRule="exact"/>
        <w:jc w:val="center"/>
        <w:rPr>
          <w:rFonts w:ascii="宋体" w:hAnsi="宋体" w:cs="创艺简标宋"/>
          <w:color w:val="000000"/>
          <w:sz w:val="40"/>
          <w:szCs w:val="40"/>
        </w:rPr>
      </w:pPr>
      <w:r>
        <w:rPr>
          <w:rFonts w:hint="eastAsia" w:ascii="宋体" w:hAnsi="宋体" w:cs="创艺简标宋"/>
          <w:color w:val="000000"/>
          <w:sz w:val="40"/>
          <w:szCs w:val="40"/>
        </w:rPr>
        <w:t>嘉兴市级生态环境违法行为举报奖励暂行办法</w:t>
      </w:r>
    </w:p>
    <w:p>
      <w:pPr>
        <w:spacing w:line="560" w:lineRule="exact"/>
        <w:rPr>
          <w:rFonts w:ascii="黑体" w:hAnsi="宋体" w:eastAsia="黑体"/>
          <w:color w:val="000000"/>
          <w:sz w:val="32"/>
          <w:szCs w:val="32"/>
        </w:rPr>
      </w:pP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第一条（奖励依据）</w:t>
      </w:r>
      <w:r>
        <w:rPr>
          <w:rFonts w:hint="eastAsia" w:ascii="仿宋_GB2312" w:hAnsi="宋体" w:eastAsia="仿宋_GB2312" w:cs="仿宋_GB2312"/>
          <w:color w:val="000000"/>
          <w:sz w:val="32"/>
          <w:szCs w:val="32"/>
        </w:rPr>
        <w:t>为进一步强化社会监督，鼓励公众积极参与环境保护监督管理，依法打击生态环境违法行为，改善生态环境质量，依据《中华人民共和国环境保护法》等法律法规，结合我市实际，制定本办法。</w:t>
      </w:r>
    </w:p>
    <w:p>
      <w:pPr>
        <w:spacing w:line="560" w:lineRule="exact"/>
        <w:ind w:firstLine="640" w:firstLineChars="200"/>
        <w:rPr>
          <w:rFonts w:ascii="仿宋_GB2312" w:hAnsi="宋体" w:eastAsia="仿宋_GB2312"/>
          <w:sz w:val="32"/>
          <w:szCs w:val="32"/>
        </w:rPr>
      </w:pPr>
      <w:r>
        <w:rPr>
          <w:rFonts w:hint="eastAsia" w:ascii="黑体" w:hAnsi="宋体" w:eastAsia="黑体" w:cs="黑体"/>
          <w:color w:val="000000"/>
          <w:sz w:val="32"/>
          <w:szCs w:val="32"/>
        </w:rPr>
        <w:t>第二条（适用范围）</w:t>
      </w:r>
      <w:r>
        <w:rPr>
          <w:rFonts w:hint="eastAsia" w:ascii="仿宋_GB2312" w:hAnsi="宋体" w:eastAsia="仿宋_GB2312" w:cs="仿宋_GB2312"/>
          <w:sz w:val="32"/>
          <w:szCs w:val="32"/>
        </w:rPr>
        <w:t>本办法适用于嘉兴市级生态环境主管部门（下称“生态环境部门”）对举报人以来电、来信、来访、网络等方式举报嘉兴市范围内发生的、属于生态环境部门监管范围的生态环境违法行为实施奖励。举报人可以是公民、法人或其他组织。</w:t>
      </w:r>
    </w:p>
    <w:p>
      <w:pPr>
        <w:pStyle w:val="2"/>
        <w:spacing w:line="560" w:lineRule="exact"/>
        <w:ind w:firstLine="640" w:firstLineChars="200"/>
        <w:rPr>
          <w:rFonts w:ascii="仿宋_GB2312" w:hAnsi="宋体" w:eastAsia="仿宋_GB2312" w:cs="仿宋_GB2312"/>
          <w:sz w:val="32"/>
          <w:szCs w:val="32"/>
        </w:rPr>
      </w:pPr>
      <w:r>
        <w:rPr>
          <w:rFonts w:hint="eastAsia" w:ascii="黑体" w:hAnsi="宋体" w:eastAsia="黑体" w:cs="黑体"/>
          <w:sz w:val="32"/>
          <w:szCs w:val="32"/>
        </w:rPr>
        <w:t>第三条（实施单位）</w:t>
      </w:r>
      <w:r>
        <w:rPr>
          <w:rFonts w:hint="eastAsia" w:ascii="仿宋_GB2312" w:hAnsi="宋体" w:eastAsia="仿宋_GB2312" w:cs="仿宋_GB2312"/>
          <w:sz w:val="32"/>
          <w:szCs w:val="32"/>
        </w:rPr>
        <w:t>举报奖励</w:t>
      </w:r>
      <w:r>
        <w:rPr>
          <w:rFonts w:hint="eastAsia" w:ascii="仿宋_GB2312" w:eastAsia="仿宋_GB2312" w:cs="仿宋_GB2312"/>
          <w:sz w:val="32"/>
          <w:szCs w:val="32"/>
        </w:rPr>
        <w:t>按照属地管理、分级负责的原</w:t>
      </w:r>
      <w:r>
        <w:rPr>
          <w:rFonts w:hint="eastAsia" w:ascii="仿宋_GB2312" w:hAnsi="宋体" w:eastAsia="仿宋_GB2312" w:cs="仿宋_GB2312"/>
          <w:sz w:val="32"/>
          <w:szCs w:val="32"/>
        </w:rPr>
        <w:t>则，原则上由实际实施行政处罚的机构实行。上级生态环境</w:t>
      </w:r>
      <w:r>
        <w:rPr>
          <w:rFonts w:ascii="仿宋_GB2312" w:hAnsi="宋体" w:eastAsia="仿宋_GB2312" w:cs="仿宋_GB2312"/>
          <w:sz w:val="32"/>
          <w:szCs w:val="32"/>
        </w:rPr>
        <w:t>主管部门受理的跨</w:t>
      </w:r>
      <w:r>
        <w:rPr>
          <w:rFonts w:hint="eastAsia" w:ascii="仿宋_GB2312" w:hAnsi="宋体" w:eastAsia="仿宋_GB2312" w:cs="仿宋_GB2312"/>
          <w:sz w:val="32"/>
          <w:szCs w:val="32"/>
        </w:rPr>
        <w:t>行政区域</w:t>
      </w:r>
      <w:r>
        <w:rPr>
          <w:rFonts w:ascii="仿宋_GB2312" w:hAnsi="宋体" w:eastAsia="仿宋_GB2312" w:cs="仿宋_GB2312"/>
          <w:sz w:val="32"/>
          <w:szCs w:val="32"/>
        </w:rPr>
        <w:t>的举报，最终</w:t>
      </w:r>
      <w:r>
        <w:rPr>
          <w:rFonts w:hint="eastAsia" w:ascii="仿宋_GB2312" w:hAnsi="宋体" w:eastAsia="仿宋_GB2312" w:cs="仿宋_GB2312"/>
          <w:sz w:val="32"/>
          <w:szCs w:val="32"/>
        </w:rPr>
        <w:t>被两地以上</w:t>
      </w:r>
      <w:r>
        <w:rPr>
          <w:rFonts w:ascii="仿宋_GB2312" w:hAnsi="宋体" w:eastAsia="仿宋_GB2312" w:cs="仿宋_GB2312"/>
          <w:sz w:val="32"/>
          <w:szCs w:val="32"/>
        </w:rPr>
        <w:t>分别查处的，由受</w:t>
      </w:r>
      <w:r>
        <w:rPr>
          <w:rFonts w:hint="eastAsia" w:ascii="仿宋_GB2312" w:hAnsi="宋体" w:eastAsia="仿宋_GB2312" w:cs="仿宋_GB2312"/>
          <w:sz w:val="32"/>
          <w:szCs w:val="32"/>
        </w:rPr>
        <w:t>污染</w:t>
      </w:r>
      <w:r>
        <w:rPr>
          <w:rFonts w:ascii="仿宋_GB2312" w:hAnsi="宋体" w:eastAsia="仿宋_GB2312" w:cs="仿宋_GB2312"/>
          <w:sz w:val="32"/>
          <w:szCs w:val="32"/>
        </w:rPr>
        <w:t>地</w:t>
      </w:r>
      <w:r>
        <w:rPr>
          <w:rFonts w:hint="eastAsia" w:ascii="仿宋_GB2312" w:hAnsi="宋体" w:eastAsia="仿宋_GB2312" w:cs="仿宋_GB2312"/>
          <w:sz w:val="32"/>
          <w:szCs w:val="32"/>
        </w:rPr>
        <w:t>生态环境</w:t>
      </w:r>
      <w:r>
        <w:rPr>
          <w:rFonts w:ascii="仿宋_GB2312" w:hAnsi="宋体" w:eastAsia="仿宋_GB2312" w:cs="仿宋_GB2312"/>
          <w:sz w:val="32"/>
          <w:szCs w:val="32"/>
        </w:rPr>
        <w:t>主管部门实施奖励。</w:t>
      </w: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第四条（奖励范围）</w:t>
      </w:r>
      <w:r>
        <w:rPr>
          <w:rFonts w:hint="eastAsia" w:ascii="仿宋_GB2312" w:hAnsi="宋体" w:eastAsia="仿宋_GB2312" w:cs="仿宋_GB2312"/>
          <w:color w:val="000000"/>
          <w:sz w:val="32"/>
          <w:szCs w:val="32"/>
        </w:rPr>
        <w:t>举报以下企事业单位和个人生态环境违法行为，并经生态环境部门查实并予以罚款处罚或移送司法机关依法追究刑事责任的，可以获得奖励：</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（一）通过暗管、渗井、渗坑、灌注和其它规避监管方式违反法律法规规定排放污染物；</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（二）擅自将严重超标的水、气等污染物排入农田、河道、沟渠和大气等外环境造成或可能造成环境污染事故的；</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（三）重点排污单位在线监控系统弄虚作假的；</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（四）擅自停用、拆除、闲置污染防治设施的，造成超标排放污染物或生态环境污染的；</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（五）未批先建电镀、印染、化工、制革、酸洗、铸造等重污染建设项目;</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（六）较大、重大和特别重大突发环境事件发生后，或被新闻媒体曝光后，未按照要求执行停产、限排措施，继续违反法律法规规定排放污染物的；</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（七）非法倾倒工业固体废物和医疗废物的、非法转移或处置危险废物的以及其他涉及工业固体废物和医疗废物的生态环境违法行为。</w:t>
      </w: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第五条（奖励条件）</w:t>
      </w:r>
      <w:r>
        <w:rPr>
          <w:rFonts w:hint="eastAsia" w:ascii="仿宋_GB2312" w:hAnsi="宋体" w:eastAsia="仿宋_GB2312" w:cs="仿宋_GB2312"/>
          <w:color w:val="000000"/>
          <w:sz w:val="32"/>
          <w:szCs w:val="32"/>
        </w:rPr>
        <w:t>鼓励举报人通过电话、网络、上门来访和信件等方式对生态环境违法行为进行举报。举报人获得奖励应同时具备以下条件：</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（一）举报人实名举报，在生态环境保护部门接到举报信息（电话通知）3个工作日内，到指定地点填写《生态环境违法行为有奖举报申请表》；</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（二）举报事项事先未被生态环境部门立案查处；</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（三）举报内容包含举报对象主要违法事实或证据；</w:t>
      </w:r>
    </w:p>
    <w:p>
      <w:p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（四）举报内容中违法事实或证据经查证属实并依法处理。</w:t>
      </w:r>
    </w:p>
    <w:p>
      <w:pPr>
        <w:spacing w:line="560" w:lineRule="exact"/>
        <w:ind w:firstLine="640" w:firstLineChars="200"/>
        <w:rPr>
          <w:rFonts w:ascii="仿宋_GB2312" w:hAnsi="宋体" w:eastAsia="仿宋_GB2312" w:cs="仿宋_GB2312"/>
          <w:color w:val="000000"/>
          <w:sz w:val="32"/>
          <w:szCs w:val="32"/>
        </w:rPr>
      </w:pPr>
      <w:r>
        <w:rPr>
          <w:rFonts w:hint="eastAsia" w:ascii="黑体" w:hAnsi="宋体" w:eastAsia="黑体" w:cs="黑体"/>
          <w:color w:val="000000"/>
          <w:sz w:val="32"/>
          <w:szCs w:val="32"/>
        </w:rPr>
        <w:t>第六条（奖励金额）</w:t>
      </w:r>
      <w:r>
        <w:rPr>
          <w:rFonts w:hint="eastAsia" w:ascii="仿宋_GB2312" w:hAnsi="宋体" w:eastAsia="仿宋_GB2312" w:cs="仿宋_GB2312"/>
          <w:color w:val="000000"/>
          <w:sz w:val="32"/>
          <w:szCs w:val="32"/>
        </w:rPr>
        <w:t>生态环境部门根据举报线索查实环境违法行为后作出行政处罚的（除本办法第四条第（七）项外），应给予举报人奖励，奖励金额按罚款金额1%实施，奖励金额不足2500元的按2500元计，最高不超过50000元；同一举报事项涉及多个部门的，奖励金额与其他法律法规的奖励政策有重复的，按照就高不就低的原则办理。</w:t>
      </w:r>
    </w:p>
    <w:p>
      <w:pPr>
        <w:spacing w:line="560" w:lineRule="exact"/>
        <w:ind w:firstLine="640" w:firstLineChars="200"/>
        <w:rPr>
          <w:rFonts w:ascii="仿宋_GB2312" w:hAnsi="宋体" w:eastAsia="仿宋_GB2312" w:cs="仿宋_GB2312"/>
          <w:color w:val="000000"/>
          <w:sz w:val="32"/>
          <w:szCs w:val="32"/>
        </w:rPr>
      </w:pPr>
      <w:r>
        <w:rPr>
          <w:rFonts w:hint="eastAsia" w:ascii="黑体" w:hAnsi="宋体" w:eastAsia="黑体" w:cs="黑体"/>
          <w:color w:val="000000"/>
          <w:sz w:val="32"/>
          <w:szCs w:val="32"/>
        </w:rPr>
        <w:t>第七条（奖金分配）</w:t>
      </w:r>
      <w:r>
        <w:rPr>
          <w:rFonts w:hint="eastAsia" w:ascii="仿宋_GB2312" w:hAnsi="宋体" w:eastAsia="仿宋_GB2312" w:cs="仿宋_GB2312"/>
          <w:color w:val="000000"/>
          <w:sz w:val="32"/>
          <w:szCs w:val="32"/>
        </w:rPr>
        <w:t>同一案件同一举报人只奖励一次；同一案件由两人以上（含两人）分别举报的，奖励第一个登记申请奖励的举报人；两人以上（含两人）联名举报同一案件的，按同一举报奖励，奖金由举报人自行协商分配。</w:t>
      </w:r>
    </w:p>
    <w:p>
      <w:pPr>
        <w:spacing w:line="560" w:lineRule="exact"/>
        <w:ind w:firstLine="640" w:firstLineChars="200"/>
        <w:rPr>
          <w:rFonts w:ascii="仿宋_GB2312" w:hAnsi="宋体" w:eastAsia="仿宋_GB2312" w:cs="仿宋_GB2312"/>
          <w:color w:val="000000"/>
          <w:sz w:val="32"/>
          <w:szCs w:val="32"/>
        </w:rPr>
      </w:pPr>
      <w:r>
        <w:rPr>
          <w:rFonts w:hint="eastAsia" w:ascii="黑体" w:hAnsi="黑体" w:eastAsia="黑体" w:cs="黑体"/>
          <w:color w:val="000000"/>
          <w:sz w:val="32"/>
          <w:szCs w:val="32"/>
        </w:rPr>
        <w:t>第八条（审批流程）</w:t>
      </w:r>
      <w:r>
        <w:rPr>
          <w:rFonts w:hint="eastAsia" w:ascii="仿宋_GB2312" w:hAnsi="宋体" w:eastAsia="仿宋_GB2312" w:cs="仿宋_GB2312"/>
          <w:color w:val="000000"/>
          <w:sz w:val="32"/>
          <w:szCs w:val="32"/>
        </w:rPr>
        <w:t>根据举报线索查实并作出行政处罚决定或刑事判决的案件，按以下时限处理奖励事宜：</w:t>
      </w:r>
    </w:p>
    <w:p>
      <w:pPr>
        <w:numPr>
          <w:ilvl w:val="0"/>
          <w:numId w:val="1"/>
        </w:num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以生态环境部门行政处罚结案的，承办人员自收到处罚决定送达通知之日起2日内根据所举报违法行为的情节及线索信息的价值及本办法的规定，提出奖励金额的建议，并在8日内完成处室（单位）联审及领导审批；承办人员在领导审批后5日内向举报人送达《嘉兴市生态环境违法行为举报奖励通知》，奖励通知应告知奖励金额、领取地点和领取时限。</w:t>
      </w:r>
    </w:p>
    <w:p>
      <w:pPr>
        <w:numPr>
          <w:ilvl w:val="0"/>
          <w:numId w:val="1"/>
        </w:num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移交公安部门处理后，以行政部门拘留结案的，承办人员自收到公安部门抄送的处罚决定后，按照本条第（一）项规定的程序、时限，完成相关的建议、联审、审批工作，并向举报人送达《嘉兴市生态环境违法行为举报奖励通知》。</w:t>
      </w:r>
    </w:p>
    <w:p>
      <w:pPr>
        <w:numPr>
          <w:ilvl w:val="0"/>
          <w:numId w:val="1"/>
        </w:numPr>
        <w:spacing w:line="56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所举报环境违法行为最终受到刑事处罚的，承办人员自收到刑事判决书，并在判决生效后，按照本条第（一）项规定的程序、时限，完成相关的建议、联审、审批工作，并向举报人送达《嘉兴市生态环境违法行为举报奖励通知》。</w:t>
      </w:r>
    </w:p>
    <w:p>
      <w:pPr>
        <w:pStyle w:val="2"/>
        <w:spacing w:line="560" w:lineRule="exact"/>
        <w:ind w:firstLine="640" w:firstLineChars="200"/>
      </w:pPr>
      <w:r>
        <w:rPr>
          <w:rFonts w:hint="eastAsia" w:ascii="黑体" w:hAnsi="宋体" w:eastAsia="黑体" w:cs="黑体"/>
          <w:color w:val="000000"/>
          <w:sz w:val="32"/>
          <w:szCs w:val="32"/>
        </w:rPr>
        <w:t>第九条（奖励领取）</w:t>
      </w:r>
      <w:r>
        <w:rPr>
          <w:rFonts w:hint="eastAsia" w:ascii="仿宋_GB2312" w:hAnsi="宋体" w:eastAsia="仿宋_GB2312" w:cs="仿宋_GB2312"/>
          <w:color w:val="000000"/>
          <w:sz w:val="32"/>
          <w:szCs w:val="32"/>
        </w:rPr>
        <w:t>举报人应在接到书面奖励通知之日起15日内，由本人或委托人凭奖励通知和有效身份证明及委托书等到指定地点领取奖金。逾期未申领的，视为放弃奖励。举报人应当依法缴纳个人所得税。</w:t>
      </w: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第十条（资金保障）</w:t>
      </w:r>
      <w:r>
        <w:rPr>
          <w:rFonts w:hint="eastAsia" w:ascii="仿宋_GB2312" w:hAnsi="宋体" w:eastAsia="仿宋_GB2312" w:cs="仿宋_GB2312"/>
          <w:color w:val="000000"/>
          <w:sz w:val="32"/>
          <w:szCs w:val="32"/>
        </w:rPr>
        <w:t>举报奖励资金由同级财政部门予以专项安排，即罚款收缴地，或移送行政拘留、移送刑事处罚的同级财政部门予以安排。生态环境部门应当加强对奖励资金的使用管理。财政部门应当对奖励资金的使用情况进行监督。</w:t>
      </w: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第十一条（经办纪律）</w:t>
      </w:r>
      <w:r>
        <w:rPr>
          <w:rFonts w:hint="eastAsia" w:ascii="仿宋_GB2312" w:hAnsi="宋体" w:eastAsia="仿宋_GB2312" w:cs="仿宋_GB2312"/>
          <w:color w:val="000000"/>
          <w:sz w:val="32"/>
          <w:szCs w:val="32"/>
        </w:rPr>
        <w:t>各部门经办人员应对举报人的身份信息予以保密，不得以任何方式透露举报人身份、举报内容和举报奖励情况等信息。</w:t>
      </w:r>
    </w:p>
    <w:p>
      <w:pPr>
        <w:spacing w:line="560" w:lineRule="exact"/>
        <w:ind w:firstLine="640" w:firstLineChars="200"/>
        <w:rPr>
          <w:rFonts w:ascii="仿宋_GB2312" w:hAnsi="宋体" w:eastAsia="仿宋_GB2312"/>
          <w:color w:val="000000"/>
          <w:sz w:val="32"/>
          <w:szCs w:val="32"/>
        </w:rPr>
      </w:pPr>
      <w:r>
        <w:rPr>
          <w:rFonts w:hint="eastAsia" w:ascii="黑体" w:hAnsi="宋体" w:eastAsia="黑体" w:cs="黑体"/>
          <w:color w:val="000000"/>
          <w:sz w:val="32"/>
          <w:szCs w:val="32"/>
        </w:rPr>
        <w:t>第十二条（举报责任）</w:t>
      </w:r>
      <w:r>
        <w:rPr>
          <w:rFonts w:hint="eastAsia" w:ascii="仿宋_GB2312" w:hAnsi="宋体" w:eastAsia="仿宋_GB2312" w:cs="仿宋_GB2312"/>
          <w:color w:val="000000"/>
          <w:sz w:val="32"/>
          <w:szCs w:val="32"/>
        </w:rPr>
        <w:t>举报人应当依法依规进行举报活动，不得无事实无依据虚假、恶意举报或经人授意举报套取奖金，造成干扰公务和行政资源浪费的，一经查实，将依法严肃处理。</w:t>
      </w:r>
    </w:p>
    <w:p>
      <w:pPr>
        <w:spacing w:line="560" w:lineRule="exact"/>
        <w:ind w:firstLine="640" w:firstLineChars="200"/>
        <w:rPr>
          <w:rFonts w:ascii="仿宋_GB2312" w:hAnsi="宋体" w:eastAsia="仿宋_GB2312" w:cs="仿宋_GB2312"/>
          <w:color w:val="000000"/>
          <w:sz w:val="32"/>
          <w:szCs w:val="32"/>
        </w:rPr>
      </w:pPr>
      <w:r>
        <w:rPr>
          <w:rFonts w:hint="eastAsia" w:ascii="黑体" w:hAnsi="宋体" w:eastAsia="黑体" w:cs="黑体"/>
          <w:color w:val="000000"/>
          <w:sz w:val="32"/>
          <w:szCs w:val="32"/>
        </w:rPr>
        <w:t>第十三条（固废规定）</w:t>
      </w:r>
      <w:r>
        <w:rPr>
          <w:rFonts w:hint="eastAsia" w:ascii="仿宋_GB2312" w:hAnsi="宋体" w:eastAsia="仿宋_GB2312" w:cs="仿宋_GB2312"/>
          <w:color w:val="000000"/>
          <w:sz w:val="32"/>
          <w:szCs w:val="32"/>
        </w:rPr>
        <w:t>涉及固体废物环境违法行为的举报奖励，按照《浙江省固体废物环境违法行为举报奖励暂行办法》</w:t>
      </w:r>
      <w:r>
        <w:rPr>
          <w:rFonts w:hint="eastAsia" w:ascii="仿宋_GB2312" w:eastAsia="仿宋_GB2312" w:cs="仿宋_GB2312"/>
          <w:color w:val="000000"/>
          <w:sz w:val="32"/>
          <w:szCs w:val="32"/>
        </w:rPr>
        <w:t>（浙环发〔2018〕2号）的规定</w:t>
      </w:r>
      <w:r>
        <w:rPr>
          <w:rFonts w:hint="eastAsia" w:ascii="仿宋_GB2312" w:hAnsi="宋体" w:eastAsia="仿宋_GB2312" w:cs="仿宋_GB2312"/>
          <w:color w:val="000000"/>
          <w:sz w:val="32"/>
          <w:szCs w:val="32"/>
        </w:rPr>
        <w:t>实施。</w:t>
      </w:r>
    </w:p>
    <w:p>
      <w:pPr>
        <w:spacing w:line="560" w:lineRule="exact"/>
        <w:ind w:firstLine="640" w:firstLineChars="200"/>
        <w:rPr>
          <w:rFonts w:ascii="仿宋_GB2312" w:hAnsi="宋体" w:eastAsia="仿宋_GB2312" w:cs="仿宋_GB2312"/>
          <w:color w:val="000000"/>
          <w:sz w:val="32"/>
          <w:szCs w:val="32"/>
        </w:rPr>
      </w:pPr>
      <w:r>
        <w:rPr>
          <w:rFonts w:hint="eastAsia" w:ascii="黑体" w:hAnsi="宋体" w:eastAsia="黑体" w:cs="黑体"/>
          <w:color w:val="000000"/>
          <w:sz w:val="32"/>
          <w:szCs w:val="32"/>
        </w:rPr>
        <w:t>第十四条（办法附则）</w:t>
      </w:r>
      <w:r>
        <w:rPr>
          <w:rFonts w:hint="eastAsia" w:ascii="仿宋_GB2312" w:hAnsi="宋体" w:eastAsia="仿宋_GB2312" w:cs="仿宋_GB2312"/>
          <w:color w:val="000000"/>
          <w:sz w:val="32"/>
          <w:szCs w:val="32"/>
        </w:rPr>
        <w:t>各级生态环境部门和其他依法具有生态环境保护监督职能的机关、企事业单位及其工作人员（包括其近亲属）和</w:t>
      </w:r>
      <w:r>
        <w:rPr>
          <w:rFonts w:ascii="仿宋_GB2312" w:hAnsi="宋体" w:eastAsia="仿宋_GB2312" w:cs="仿宋_GB2312"/>
          <w:color w:val="000000"/>
          <w:sz w:val="32"/>
          <w:szCs w:val="32"/>
        </w:rPr>
        <w:t>新</w:t>
      </w:r>
      <w:r>
        <w:rPr>
          <w:rFonts w:hint="eastAsia" w:ascii="仿宋_GB2312" w:hAnsi="宋体" w:eastAsia="仿宋_GB2312" w:cs="仿宋_GB2312"/>
          <w:color w:val="000000"/>
          <w:sz w:val="32"/>
          <w:szCs w:val="32"/>
        </w:rPr>
        <w:t>闻</w:t>
      </w:r>
      <w:r>
        <w:rPr>
          <w:rFonts w:ascii="仿宋_GB2312" w:hAnsi="宋体" w:eastAsia="仿宋_GB2312" w:cs="仿宋_GB2312"/>
          <w:color w:val="000000"/>
          <w:sz w:val="32"/>
          <w:szCs w:val="32"/>
        </w:rPr>
        <w:t>媒体</w:t>
      </w:r>
      <w:r>
        <w:rPr>
          <w:rFonts w:hint="eastAsia" w:ascii="仿宋_GB2312" w:hAnsi="宋体" w:eastAsia="仿宋_GB2312" w:cs="仿宋_GB2312"/>
          <w:color w:val="000000"/>
          <w:sz w:val="32"/>
          <w:szCs w:val="32"/>
        </w:rPr>
        <w:t>不纳入奖金奖励范围，视情况可给予精神奖励。同一举报人一年内奖励金额最高不超过10万元。</w:t>
      </w:r>
    </w:p>
    <w:p>
      <w:pPr>
        <w:spacing w:line="560" w:lineRule="exact"/>
        <w:ind w:firstLine="640" w:firstLineChars="200"/>
        <w:rPr>
          <w:rFonts w:ascii="黑体" w:hAnsi="宋体" w:eastAsia="黑体" w:cs="黑体"/>
          <w:color w:val="000000"/>
          <w:kern w:val="0"/>
          <w:sz w:val="32"/>
          <w:szCs w:val="32"/>
        </w:rPr>
      </w:pPr>
      <w:r>
        <w:rPr>
          <w:rFonts w:hint="eastAsia" w:ascii="黑体" w:hAnsi="宋体" w:eastAsia="黑体" w:cs="黑体"/>
          <w:color w:val="000000"/>
          <w:kern w:val="0"/>
          <w:sz w:val="32"/>
          <w:szCs w:val="32"/>
        </w:rPr>
        <w:t>第十五条（适用范围）</w:t>
      </w:r>
      <w:r>
        <w:rPr>
          <w:rFonts w:hint="eastAsia" w:ascii="仿宋_GB2312" w:eastAsia="仿宋_GB2312" w:cs="仿宋_GB2312"/>
          <w:color w:val="000000"/>
          <w:spacing w:val="-4"/>
          <w:sz w:val="32"/>
          <w:szCs w:val="32"/>
        </w:rPr>
        <w:t>各县（市、区）</w:t>
      </w:r>
      <w:r>
        <w:rPr>
          <w:rFonts w:hint="eastAsia" w:ascii="仿宋_GB2312" w:hAnsi="宋体" w:eastAsia="仿宋_GB2312" w:cs="仿宋_GB2312"/>
          <w:color w:val="000000"/>
          <w:sz w:val="32"/>
          <w:szCs w:val="32"/>
        </w:rPr>
        <w:t>生态环境部门</w:t>
      </w:r>
      <w:r>
        <w:rPr>
          <w:rFonts w:hint="eastAsia" w:ascii="仿宋_GB2312" w:eastAsia="仿宋_GB2312" w:cs="仿宋_GB2312"/>
          <w:color w:val="000000"/>
          <w:spacing w:val="-4"/>
          <w:sz w:val="32"/>
          <w:szCs w:val="32"/>
        </w:rPr>
        <w:t>可参照本办法执行。</w:t>
      </w:r>
    </w:p>
    <w:p>
      <w:pPr>
        <w:spacing w:line="560" w:lineRule="exact"/>
        <w:rPr>
          <w:rFonts w:ascii="仿宋_GB2312" w:hAnsi="宋体" w:eastAsia="仿宋_GB2312" w:cs="仿宋_GB2312"/>
          <w:color w:val="000000"/>
          <w:kern w:val="0"/>
          <w:sz w:val="32"/>
          <w:szCs w:val="32"/>
        </w:rPr>
        <w:sectPr>
          <w:footerReference r:id="rId5" w:type="default"/>
          <w:footerReference r:id="rId6" w:type="even"/>
          <w:pgSz w:w="11906" w:h="16838"/>
          <w:pgMar w:top="2098" w:right="1588" w:bottom="1814" w:left="1588" w:header="851" w:footer="1191" w:gutter="0"/>
          <w:cols w:space="720" w:num="1"/>
          <w:docGrid w:type="lines" w:linePitch="312" w:charSpace="0"/>
        </w:sectPr>
      </w:pPr>
    </w:p>
    <w:p>
      <w:pPr>
        <w:spacing w:line="600" w:lineRule="exact"/>
        <w:rPr>
          <w:rFonts w:ascii="黑体" w:hAnsi="黑体" w:eastAsia="黑体" w:cs="仿宋_GB2312"/>
          <w:bCs/>
          <w:color w:val="0C0C0C"/>
          <w:kern w:val="0"/>
          <w:sz w:val="32"/>
          <w:szCs w:val="32"/>
        </w:rPr>
      </w:pPr>
      <w:r>
        <w:rPr>
          <w:rFonts w:hint="eastAsia" w:ascii="黑体" w:hAnsi="黑体" w:eastAsia="黑体" w:cs="仿宋_GB2312"/>
          <w:bCs/>
          <w:color w:val="0C0C0C"/>
          <w:kern w:val="0"/>
          <w:sz w:val="32"/>
          <w:szCs w:val="32"/>
        </w:rPr>
        <w:t>附件</w:t>
      </w:r>
    </w:p>
    <w:p>
      <w:pPr>
        <w:spacing w:line="600" w:lineRule="exact"/>
        <w:jc w:val="center"/>
        <w:rPr>
          <w:rFonts w:ascii="宋体" w:hAnsi="宋体" w:cs="宋体"/>
          <w:b/>
          <w:bCs/>
          <w:color w:val="0C0C0C"/>
          <w:sz w:val="36"/>
          <w:szCs w:val="36"/>
        </w:rPr>
      </w:pPr>
      <w:r>
        <w:rPr>
          <w:rFonts w:hint="eastAsia" w:ascii="宋体" w:hAnsi="宋体" w:cs="宋体"/>
          <w:b/>
          <w:bCs/>
          <w:color w:val="0C0C0C"/>
          <w:sz w:val="36"/>
          <w:szCs w:val="36"/>
        </w:rPr>
        <w:t>固体废物环境违法行为举报奖金计算标准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5240"/>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spacing w:line="600" w:lineRule="exact"/>
              <w:jc w:val="center"/>
              <w:rPr>
                <w:rFonts w:ascii="仿宋_GB2312" w:hAnsi="宋体" w:eastAsia="仿宋_GB2312" w:cs="仿宋_GB2312"/>
                <w:b/>
                <w:bCs/>
                <w:color w:val="0C0C0C"/>
                <w:sz w:val="30"/>
                <w:szCs w:val="30"/>
              </w:rPr>
            </w:pPr>
            <w:r>
              <w:rPr>
                <w:rFonts w:hint="eastAsia" w:ascii="仿宋_GB2312" w:hAnsi="宋体" w:eastAsia="仿宋_GB2312" w:cs="仿宋_GB2312"/>
                <w:b/>
                <w:bCs/>
                <w:color w:val="0C0C0C"/>
                <w:sz w:val="30"/>
                <w:szCs w:val="30"/>
              </w:rPr>
              <w:t>处罚种类</w:t>
            </w:r>
          </w:p>
        </w:tc>
        <w:tc>
          <w:tcPr>
            <w:tcW w:w="5240" w:type="dxa"/>
          </w:tcPr>
          <w:p>
            <w:pPr>
              <w:spacing w:line="600" w:lineRule="exact"/>
              <w:jc w:val="center"/>
              <w:rPr>
                <w:rFonts w:ascii="仿宋_GB2312" w:hAnsi="宋体" w:eastAsia="仿宋_GB2312" w:cs="仿宋_GB2312"/>
                <w:b/>
                <w:bCs/>
                <w:color w:val="0C0C0C"/>
                <w:sz w:val="30"/>
                <w:szCs w:val="30"/>
              </w:rPr>
            </w:pPr>
            <w:r>
              <w:rPr>
                <w:rFonts w:hint="eastAsia" w:ascii="仿宋_GB2312" w:hAnsi="宋体" w:eastAsia="仿宋_GB2312" w:cs="仿宋_GB2312"/>
                <w:b/>
                <w:bCs/>
                <w:color w:val="0C0C0C"/>
                <w:sz w:val="30"/>
                <w:szCs w:val="30"/>
              </w:rPr>
              <w:t>处罚情况</w:t>
            </w:r>
          </w:p>
        </w:tc>
        <w:tc>
          <w:tcPr>
            <w:tcW w:w="2196" w:type="dxa"/>
          </w:tcPr>
          <w:p>
            <w:pPr>
              <w:spacing w:line="600" w:lineRule="exact"/>
              <w:jc w:val="center"/>
              <w:rPr>
                <w:rFonts w:ascii="仿宋_GB2312" w:hAnsi="宋体" w:eastAsia="仿宋_GB2312" w:cs="仿宋_GB2312"/>
                <w:b/>
                <w:bCs/>
                <w:color w:val="0C0C0C"/>
                <w:sz w:val="30"/>
                <w:szCs w:val="30"/>
              </w:rPr>
            </w:pPr>
            <w:r>
              <w:rPr>
                <w:rFonts w:hint="eastAsia" w:ascii="仿宋_GB2312" w:hAnsi="宋体" w:eastAsia="仿宋_GB2312" w:cs="仿宋_GB2312"/>
                <w:b/>
                <w:bCs/>
                <w:color w:val="0C0C0C"/>
                <w:sz w:val="30"/>
                <w:szCs w:val="30"/>
              </w:rPr>
              <w:t>建议奖励（元）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行政处罚</w:t>
            </w:r>
          </w:p>
          <w:p>
            <w:pPr>
              <w:spacing w:line="600" w:lineRule="exact"/>
              <w:jc w:val="center"/>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对违法行为企业作出5000元以上10000元以下行政处罚决定的。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vAlign w:val="center"/>
          </w:tcPr>
          <w:p>
            <w:pPr>
              <w:spacing w:line="600" w:lineRule="exact"/>
              <w:jc w:val="center"/>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对违法行为企业作出10000元以上50000元以下行政处罚决定的。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5000-10000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vAlign w:val="center"/>
          </w:tcPr>
          <w:p>
            <w:pPr>
              <w:spacing w:line="600" w:lineRule="exact"/>
              <w:jc w:val="center"/>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对违法行为企业作出50000元以上100000元以下行政处罚决定的。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10000-20000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vAlign w:val="center"/>
          </w:tcPr>
          <w:p>
            <w:pPr>
              <w:spacing w:line="600" w:lineRule="exact"/>
              <w:jc w:val="center"/>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对违法行为企业作出100000元以上200000元以下行政处罚决定的。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20000-30000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vAlign w:val="center"/>
          </w:tcPr>
          <w:p>
            <w:pPr>
              <w:spacing w:line="600" w:lineRule="exact"/>
              <w:jc w:val="center"/>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对违法行为企业作出200000元以上行政处罚决定的。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30000-50000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行政拘留</w:t>
            </w: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公安机关对被举报人实施1日以上5日以下（含5日）行政拘留的。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vAlign w:val="center"/>
          </w:tcPr>
          <w:p>
            <w:pPr>
              <w:spacing w:line="600" w:lineRule="exact"/>
              <w:jc w:val="center"/>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公安机关对被举报人实施5日以上10日以下（含10日）行政拘留的。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5000-7000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vAlign w:val="center"/>
          </w:tcPr>
          <w:p>
            <w:pPr>
              <w:spacing w:line="600" w:lineRule="exact"/>
              <w:jc w:val="center"/>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公安机关对被举报人实施10日以上15日以下（含15日）行政拘留的。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7000-10000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刑事处罚</w:t>
            </w: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人民法院判决被举报人犯罪，单处罚金的。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tcPr>
          <w:p>
            <w:pPr>
              <w:spacing w:line="600" w:lineRule="exact"/>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人民法院判决被举报人犯罪，判处拘役的。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10000-20000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tcPr>
          <w:p>
            <w:pPr>
              <w:spacing w:line="600" w:lineRule="exact"/>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人民法院判决被举报人犯罪，判处3年以下（含3年）有期徒刑的。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20000-30000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tcPr>
          <w:p>
            <w:pPr>
              <w:spacing w:line="600" w:lineRule="exact"/>
              <w:rPr>
                <w:rFonts w:ascii="仿宋_GB2312" w:hAnsi="宋体" w:eastAsia="仿宋_GB2312" w:cs="仿宋_GB2312"/>
                <w:color w:val="0C0C0C"/>
                <w:sz w:val="30"/>
                <w:szCs w:val="30"/>
              </w:rPr>
            </w:pPr>
          </w:p>
        </w:tc>
        <w:tc>
          <w:tcPr>
            <w:tcW w:w="5240" w:type="dxa"/>
          </w:tcPr>
          <w:p>
            <w:pPr>
              <w:spacing w:line="400" w:lineRule="exact"/>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人民法院判决被举报人犯罪，判处3年以上有期徒刑的。</w:t>
            </w:r>
          </w:p>
        </w:tc>
        <w:tc>
          <w:tcPr>
            <w:tcW w:w="2196" w:type="dxa"/>
            <w:vAlign w:val="center"/>
          </w:tcPr>
          <w:p>
            <w:pPr>
              <w:spacing w:line="600" w:lineRule="exact"/>
              <w:jc w:val="center"/>
              <w:rPr>
                <w:rFonts w:ascii="仿宋_GB2312" w:hAnsi="宋体" w:eastAsia="仿宋_GB2312" w:cs="仿宋_GB2312"/>
                <w:color w:val="0C0C0C"/>
                <w:sz w:val="30"/>
                <w:szCs w:val="30"/>
              </w:rPr>
            </w:pPr>
            <w:r>
              <w:rPr>
                <w:rFonts w:hint="eastAsia" w:ascii="仿宋_GB2312" w:hAnsi="宋体" w:eastAsia="仿宋_GB2312" w:cs="仿宋_GB2312"/>
                <w:color w:val="0C0C0C"/>
                <w:sz w:val="30"/>
                <w:szCs w:val="30"/>
              </w:rPr>
              <w:t>30000-50000</w:t>
            </w:r>
          </w:p>
        </w:tc>
      </w:tr>
    </w:tbl>
    <w:p>
      <w:pPr>
        <w:spacing w:line="400" w:lineRule="exact"/>
        <w:rPr>
          <w:rFonts w:hint="eastAsia" w:ascii="仿宋_GB2312" w:eastAsia="仿宋_GB2312" w:cs="仿宋_GB2312"/>
          <w:color w:val="0C0C0C"/>
          <w:kern w:val="0"/>
          <w:sz w:val="28"/>
          <w:szCs w:val="32"/>
        </w:rPr>
      </w:pPr>
      <w:r>
        <w:rPr>
          <w:rFonts w:hint="eastAsia" w:ascii="仿宋_GB2312" w:hAnsi="宋体" w:eastAsia="仿宋_GB2312" w:cs="仿宋_GB2312"/>
          <w:color w:val="0C0C0C"/>
          <w:sz w:val="32"/>
          <w:szCs w:val="32"/>
        </w:rPr>
        <w:t>注：本标准参照《浙江省环境保护厅固体废物环境违法行为举报奖励实施细则》，本奖励标准仅适用本办法第四条第（七）项</w:t>
      </w:r>
      <w:r>
        <w:rPr>
          <w:rFonts w:hint="eastAsia" w:ascii="仿宋_GB2312" w:eastAsia="仿宋_GB2312" w:cs="仿宋_GB2312"/>
          <w:color w:val="0C0C0C"/>
          <w:kern w:val="0"/>
          <w:sz w:val="28"/>
          <w:szCs w:val="32"/>
        </w:rPr>
        <w:t>。</w:t>
      </w:r>
    </w:p>
    <w:p>
      <w:pPr>
        <w:spacing w:line="400" w:lineRule="exact"/>
        <w:rPr>
          <w:rFonts w:hint="eastAsia" w:ascii="仿宋_GB2312" w:eastAsia="仿宋_GB2312" w:cs="仿宋_GB2312"/>
          <w:color w:val="0C0C0C"/>
          <w:kern w:val="0"/>
          <w:sz w:val="28"/>
          <w:szCs w:val="32"/>
        </w:rPr>
      </w:pPr>
    </w:p>
    <w:p>
      <w:pPr>
        <w:spacing w:line="400" w:lineRule="exact"/>
        <w:rPr>
          <w:rFonts w:hint="eastAsia" w:ascii="仿宋_GB2312" w:eastAsia="仿宋_GB2312" w:cs="仿宋_GB2312"/>
          <w:color w:val="0C0C0C"/>
          <w:kern w:val="0"/>
          <w:sz w:val="28"/>
          <w:szCs w:val="32"/>
          <w:lang w:val="en-US" w:eastAsia="zh-CN"/>
        </w:rPr>
      </w:pPr>
      <w:r>
        <w:rPr>
          <w:rFonts w:hint="eastAsia" w:ascii="仿宋_GB2312" w:eastAsia="仿宋_GB2312" w:cs="仿宋_GB2312"/>
          <w:color w:val="0C0C0C"/>
          <w:kern w:val="0"/>
          <w:sz w:val="28"/>
          <w:szCs w:val="32"/>
          <w:lang w:val="en-US" w:eastAsia="zh-CN"/>
        </w:rPr>
        <w:t>（此页无正文）</w:t>
      </w:r>
    </w:p>
    <w:p/>
    <w:p/>
    <w:p/>
    <w:p/>
    <w:p/>
    <w:p/>
    <w:p/>
    <w:p/>
    <w:p/>
    <w:p/>
    <w:p/>
    <w:p/>
    <w:p/>
    <w:p/>
    <w:p/>
    <w:p/>
    <w:p/>
    <w:p/>
    <w:p/>
    <w:p/>
    <w:p/>
    <w:p/>
    <w:p/>
    <w:p/>
    <w:p/>
    <w:p/>
    <w:p/>
    <w:p/>
    <w:p/>
    <w:p/>
    <w:p/>
    <w:p/>
    <w:p/>
    <w:p/>
    <w:p/>
    <w:p/>
    <w:p/>
    <w:p/>
    <w:p/>
    <w:p/>
    <w:p/>
    <w:p/>
    <w:p/>
    <w:p/>
    <w:p/>
    <w:p/>
    <w:p/>
    <w:p/>
    <w:p/>
    <w:p/>
    <w:p/>
    <w:p/>
    <w:p/>
    <w:p/>
    <w:p/>
    <w:p/>
    <w:p/>
    <w:p/>
    <w:p/>
    <w:p/>
    <w:p/>
    <w:p/>
    <w:p/>
    <w:p/>
    <w:p/>
    <w:p/>
    <w:p/>
    <w:p/>
    <w:p/>
    <w:p/>
    <w:p/>
    <w:p/>
    <w:p/>
    <w:tbl>
      <w:tblPr>
        <w:tblStyle w:val="6"/>
        <w:tblpPr w:leftFromText="180" w:rightFromText="180" w:vertAnchor="text" w:horzAnchor="page" w:tblpX="1662" w:tblpY="1247"/>
        <w:tblOverlap w:val="never"/>
        <w:tblW w:w="0" w:type="auto"/>
        <w:tblInd w:w="0" w:type="dxa"/>
        <w:tblLayout w:type="fixed"/>
        <w:tblCellMar>
          <w:top w:w="0" w:type="dxa"/>
          <w:left w:w="102" w:type="dxa"/>
          <w:bottom w:w="0" w:type="dxa"/>
          <w:right w:w="102" w:type="dxa"/>
        </w:tblCellMar>
      </w:tblPr>
      <w:tblGrid>
        <w:gridCol w:w="284"/>
        <w:gridCol w:w="975"/>
        <w:gridCol w:w="2667"/>
        <w:gridCol w:w="4607"/>
        <w:gridCol w:w="52"/>
        <w:gridCol w:w="234"/>
      </w:tblGrid>
      <w:tr>
        <w:tblPrEx>
          <w:tblCellMar>
            <w:top w:w="0" w:type="dxa"/>
            <w:left w:w="102" w:type="dxa"/>
            <w:bottom w:w="0" w:type="dxa"/>
            <w:right w:w="102" w:type="dxa"/>
          </w:tblCellMar>
        </w:tblPrEx>
        <w:trPr>
          <w:cantSplit/>
          <w:trHeight w:val="584" w:hRule="atLeast"/>
        </w:trPr>
        <w:tc>
          <w:tcPr>
            <w:tcW w:w="284" w:type="dxa"/>
            <w:tcBorders>
              <w:top w:val="single" w:color="auto" w:sz="4" w:space="0"/>
              <w:left w:val="nil"/>
              <w:bottom w:val="single" w:color="auto" w:sz="4" w:space="0"/>
              <w:right w:val="nil"/>
            </w:tcBorders>
            <w:noWrap w:val="0"/>
            <w:vAlign w:val="center"/>
          </w:tcPr>
          <w:p>
            <w:pPr>
              <w:ind w:firstLine="420"/>
              <w:rPr>
                <w:rFonts w:hint="eastAsia" w:ascii="仿宋_GB2312" w:hAnsi="仿宋_GB2312" w:eastAsia="仿宋_GB2312" w:cs="仿宋_GB2312"/>
                <w:sz w:val="28"/>
                <w:szCs w:val="28"/>
              </w:rPr>
            </w:pPr>
          </w:p>
        </w:tc>
        <w:tc>
          <w:tcPr>
            <w:tcW w:w="975" w:type="dxa"/>
            <w:tcBorders>
              <w:top w:val="single" w:color="auto" w:sz="4" w:space="0"/>
              <w:left w:val="nil"/>
              <w:bottom w:val="single" w:color="auto" w:sz="4" w:space="0"/>
              <w:right w:val="nil"/>
            </w:tcBorders>
            <w:noWrap w:val="0"/>
            <w:vAlign w:val="top"/>
          </w:tcPr>
          <w:p>
            <w:pPr>
              <w:rPr>
                <w:rFonts w:hint="eastAsia" w:ascii="仿宋_GB2312" w:hAnsi="仿宋_GB2312" w:eastAsia="仿宋_GB2312" w:cs="仿宋_GB2312"/>
                <w:spacing w:val="-10"/>
                <w:sz w:val="28"/>
                <w:szCs w:val="28"/>
              </w:rPr>
            </w:pPr>
          </w:p>
        </w:tc>
        <w:tc>
          <w:tcPr>
            <w:tcW w:w="7326" w:type="dxa"/>
            <w:gridSpan w:val="3"/>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sz w:val="28"/>
                <w:szCs w:val="28"/>
                <w:lang w:val="ru-RU"/>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ru-RU"/>
              </w:rPr>
              <w:t>共印</w:t>
            </w:r>
            <w:r>
              <w:rPr>
                <w:rFonts w:hint="eastAsia" w:ascii="仿宋_GB2312" w:hAnsi="仿宋_GB2312" w:eastAsia="仿宋_GB2312" w:cs="仿宋_GB2312"/>
                <w:bCs/>
                <w:sz w:val="28"/>
                <w:szCs w:val="28"/>
              </w:rPr>
              <w:t>20</w:t>
            </w:r>
            <w:r>
              <w:rPr>
                <w:rFonts w:hint="eastAsia" w:ascii="仿宋_GB2312" w:hAnsi="仿宋_GB2312" w:eastAsia="仿宋_GB2312" w:cs="仿宋_GB2312"/>
                <w:sz w:val="28"/>
                <w:szCs w:val="28"/>
                <w:lang w:val="ru-RU"/>
              </w:rPr>
              <w:t>份</w:t>
            </w:r>
          </w:p>
        </w:tc>
        <w:tc>
          <w:tcPr>
            <w:tcW w:w="234" w:type="dxa"/>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sz w:val="28"/>
                <w:szCs w:val="28"/>
                <w:lang w:val="ru-RU"/>
              </w:rPr>
            </w:pPr>
          </w:p>
        </w:tc>
      </w:tr>
      <w:tr>
        <w:tblPrEx>
          <w:tblCellMar>
            <w:top w:w="0" w:type="dxa"/>
            <w:left w:w="102" w:type="dxa"/>
            <w:bottom w:w="0" w:type="dxa"/>
            <w:right w:w="102" w:type="dxa"/>
          </w:tblCellMar>
        </w:tblPrEx>
        <w:trPr>
          <w:trHeight w:val="446" w:hRule="atLeast"/>
        </w:trPr>
        <w:tc>
          <w:tcPr>
            <w:tcW w:w="284" w:type="dxa"/>
            <w:tcBorders>
              <w:top w:val="single" w:color="auto" w:sz="4" w:space="0"/>
              <w:bottom w:val="single" w:color="auto" w:sz="8" w:space="0"/>
            </w:tcBorders>
            <w:noWrap w:val="0"/>
            <w:vAlign w:val="center"/>
          </w:tcPr>
          <w:p>
            <w:pPr>
              <w:jc w:val="left"/>
              <w:rPr>
                <w:rFonts w:hint="eastAsia" w:ascii="仿宋_GB2312" w:hAnsi="仿宋_GB2312" w:eastAsia="仿宋_GB2312" w:cs="仿宋_GB2312"/>
                <w:sz w:val="28"/>
                <w:szCs w:val="28"/>
                <w:lang w:val="ru-RU"/>
              </w:rPr>
            </w:pPr>
          </w:p>
        </w:tc>
        <w:tc>
          <w:tcPr>
            <w:tcW w:w="3642" w:type="dxa"/>
            <w:gridSpan w:val="2"/>
            <w:tcBorders>
              <w:top w:val="single" w:color="auto" w:sz="4" w:space="0"/>
              <w:bottom w:val="single" w:color="auto" w:sz="8" w:space="0"/>
            </w:tcBorders>
            <w:noWrap w:val="0"/>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嘉兴市生态环境局办公室</w:t>
            </w:r>
          </w:p>
        </w:tc>
        <w:tc>
          <w:tcPr>
            <w:tcW w:w="4607" w:type="dxa"/>
            <w:tcBorders>
              <w:top w:val="single" w:color="auto" w:sz="4" w:space="0"/>
              <w:bottom w:val="single" w:color="auto" w:sz="8" w:space="0"/>
            </w:tcBorders>
            <w:noWrap w:val="0"/>
            <w:vAlign w:val="center"/>
          </w:tcPr>
          <w:p>
            <w:pPr>
              <w:jc w:val="righ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2019</w:t>
            </w:r>
            <w:r>
              <w:rPr>
                <w:rFonts w:hint="eastAsia" w:ascii="仿宋_GB2312" w:hAnsi="仿宋_GB2312" w:eastAsia="仿宋_GB2312" w:cs="仿宋_GB2312"/>
                <w:sz w:val="28"/>
                <w:szCs w:val="28"/>
              </w:rPr>
              <w:t>年</w:t>
            </w:r>
            <w:r>
              <w:rPr>
                <w:rFonts w:hint="eastAsia" w:ascii="仿宋_GB2312" w:hAnsi="仿宋_GB2312" w:eastAsia="仿宋_GB2312" w:cs="仿宋_GB2312"/>
                <w:bCs/>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bCs/>
                <w:sz w:val="28"/>
                <w:szCs w:val="28"/>
                <w:lang w:val="en-US" w:eastAsia="zh-CN"/>
              </w:rPr>
              <w:t>11</w:t>
            </w:r>
            <w:r>
              <w:rPr>
                <w:rFonts w:hint="eastAsia" w:ascii="仿宋_GB2312" w:hAnsi="仿宋_GB2312" w:eastAsia="仿宋_GB2312" w:cs="仿宋_GB2312"/>
                <w:sz w:val="28"/>
                <w:szCs w:val="28"/>
              </w:rPr>
              <w:t>日印发</w:t>
            </w:r>
          </w:p>
        </w:tc>
        <w:tc>
          <w:tcPr>
            <w:tcW w:w="286" w:type="dxa"/>
            <w:gridSpan w:val="2"/>
            <w:tcBorders>
              <w:top w:val="single" w:color="auto" w:sz="4" w:space="0"/>
              <w:bottom w:val="single" w:color="auto" w:sz="8" w:space="0"/>
            </w:tcBorders>
            <w:noWrap w:val="0"/>
            <w:vAlign w:val="center"/>
          </w:tcPr>
          <w:p>
            <w:pPr>
              <w:jc w:val="right"/>
              <w:rPr>
                <w:rFonts w:hint="eastAsia" w:ascii="仿宋_GB2312" w:hAnsi="仿宋_GB2312" w:eastAsia="仿宋_GB2312" w:cs="仿宋_GB2312"/>
                <w:sz w:val="28"/>
                <w:szCs w:val="28"/>
              </w:rPr>
            </w:pPr>
          </w:p>
        </w:tc>
      </w:tr>
    </w:tbl>
    <w:p/>
    <w:sectPr>
      <w:pgSz w:w="11906" w:h="16838"/>
      <w:pgMar w:top="2098" w:right="1588" w:bottom="1814" w:left="1588"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w:t>
    </w:r>
  </w:p>
  <w:p>
    <w:pPr>
      <w:pStyle w:val="4"/>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left="317" w:right="360" w:firstLine="360"/>
    </w:pPr>
    <w:r>
      <w:rPr>
        <w:rStyle w:val="8"/>
        <w:rFonts w:hint="eastAsia" w:ascii="仿宋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04C3B"/>
    <w:multiLevelType w:val="singleLevel"/>
    <w:tmpl w:val="92304C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72C4"/>
    <w:rsid w:val="00246F1F"/>
    <w:rsid w:val="00266748"/>
    <w:rsid w:val="00306403"/>
    <w:rsid w:val="003472C4"/>
    <w:rsid w:val="003817BD"/>
    <w:rsid w:val="004E6BF3"/>
    <w:rsid w:val="005B2F86"/>
    <w:rsid w:val="005E11AC"/>
    <w:rsid w:val="00632003"/>
    <w:rsid w:val="00674E14"/>
    <w:rsid w:val="0069235A"/>
    <w:rsid w:val="00783CAC"/>
    <w:rsid w:val="00787EDC"/>
    <w:rsid w:val="007E2585"/>
    <w:rsid w:val="00830413"/>
    <w:rsid w:val="00875A9E"/>
    <w:rsid w:val="00891C41"/>
    <w:rsid w:val="00894048"/>
    <w:rsid w:val="008E5790"/>
    <w:rsid w:val="008F39FE"/>
    <w:rsid w:val="009E22B4"/>
    <w:rsid w:val="00A32E90"/>
    <w:rsid w:val="00AB4EEC"/>
    <w:rsid w:val="00AE608B"/>
    <w:rsid w:val="00B334BD"/>
    <w:rsid w:val="00B574CA"/>
    <w:rsid w:val="00B754A1"/>
    <w:rsid w:val="00BC3EE1"/>
    <w:rsid w:val="00C110C8"/>
    <w:rsid w:val="00C511C1"/>
    <w:rsid w:val="00C9746E"/>
    <w:rsid w:val="00E5368C"/>
    <w:rsid w:val="00F60391"/>
    <w:rsid w:val="00FC45A6"/>
    <w:rsid w:val="00FD36A7"/>
    <w:rsid w:val="00FF0086"/>
    <w:rsid w:val="23F3183E"/>
    <w:rsid w:val="55CD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annotation reference"/>
    <w:uiPriority w:val="0"/>
    <w:rPr>
      <w:sz w:val="21"/>
      <w:szCs w:val="21"/>
    </w:rPr>
  </w:style>
  <w:style w:type="character" w:customStyle="1" w:styleId="10">
    <w:name w:val="页眉 Char"/>
    <w:basedOn w:val="7"/>
    <w:link w:val="5"/>
    <w:semiHidden/>
    <w:uiPriority w:val="99"/>
    <w:rPr>
      <w:sz w:val="18"/>
      <w:szCs w:val="18"/>
    </w:rPr>
  </w:style>
  <w:style w:type="character" w:customStyle="1" w:styleId="11">
    <w:name w:val="页脚 Char"/>
    <w:basedOn w:val="7"/>
    <w:link w:val="4"/>
    <w:uiPriority w:val="0"/>
    <w:rPr>
      <w:sz w:val="18"/>
      <w:szCs w:val="18"/>
    </w:rPr>
  </w:style>
  <w:style w:type="character" w:customStyle="1" w:styleId="12">
    <w:name w:val="批注文字 Char"/>
    <w:basedOn w:val="7"/>
    <w:link w:val="2"/>
    <w:semiHidden/>
    <w:qFormat/>
    <w:uiPriority w:val="99"/>
    <w:rPr>
      <w:rFonts w:ascii="Times New Roman" w:hAnsi="Times New Roman" w:eastAsia="宋体" w:cs="Times New Roman"/>
      <w:szCs w:val="24"/>
    </w:rPr>
  </w:style>
  <w:style w:type="character" w:customStyle="1" w:styleId="13">
    <w:name w:val="批注文字 Char1"/>
    <w:link w:val="2"/>
    <w:uiPriority w:val="0"/>
    <w:rPr>
      <w:rFonts w:ascii="Times New Roman" w:hAnsi="Times New Roman" w:eastAsia="宋体" w:cs="Times New Roman"/>
      <w:szCs w:val="24"/>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457</Words>
  <Characters>2608</Characters>
  <Lines>21</Lines>
  <Paragraphs>6</Paragraphs>
  <TotalTime>2</TotalTime>
  <ScaleCrop>false</ScaleCrop>
  <LinksUpToDate>false</LinksUpToDate>
  <CharactersWithSpaces>3059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2019-09-27T03:30:00Z</dcterms:created>
  <dc:creator>匿名用户</dc:creator>
  <cp:lastModifiedBy>梨子梨子梨</cp:lastModifiedBy>
  <cp:lastPrinted>2019-11-11T01:22:00Z</cp:lastPrinted>
  <dcterms:modified xsi:type="dcterms:W3CDTF">2019-11-13T01:47:42Z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