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auto"/>
          <w:spacing w:val="-4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 w:bidi="ar"/>
        </w:rPr>
        <w:t>嘉兴市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bidi="ar"/>
        </w:rPr>
        <w:t>关于促进服务业领域困难行业恢复发展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bidi="ar"/>
        </w:rPr>
        <w:t>的政策意见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 w:bidi="ar"/>
        </w:rPr>
        <w:t>（征求意见稿）</w:t>
      </w:r>
    </w:p>
    <w:p>
      <w:pPr>
        <w:keepNext w:val="0"/>
        <w:keepLines w:val="0"/>
        <w:pageBreakBefore w:val="0"/>
        <w:widowControl w:val="0"/>
        <w:tabs>
          <w:tab w:val="left" w:pos="37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根据党中央、国务院和省委、省政府决策部署，为贯彻落实《关于促进服务业领域困难行业恢复发展的若干政策》（发改财金〔2022〕271号）、《浙江省关于促进服务业领域困难行业恢复发展的政策意见》（浙发改服务〔2022〕85号），统筹好疫情防控和经济社会发展，更大力度帮助服务业困难行业渡过难关、恢复发展，千方百计稳定市场主体，全力推进经济稳进提质，特制定以下恢复发展扶持政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4"/>
          <w:sz w:val="32"/>
          <w:szCs w:val="32"/>
          <w:highlight w:val="none"/>
          <w:lang w:val="en-US" w:eastAsia="zh-CN"/>
        </w:rPr>
        <w:t>　　一、全面落实普惠性纾困扶持措施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1.延续服务业增值税加计抵减政策。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对生产、生活性服务业纳税人当期可抵扣进项税额继续分别按10%和15%加计抵减应纳税额，执行期限延长至2022年12月31日。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（责任单位：市税务局）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2.大规模增值税留抵退税政策。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2022年4月1日起，对符合条件的小微企业及科学研究和技术服务业、软件和信息技术服务业、生态保护和环境治理业、交通运输仓储和邮政业等服务行业，按月全额退还增值税增量留抵税额，并一次性退还存量留抵税额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（责任单位：市税务局）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3.小规模纳税人阶段性免征增值税。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自2022年4月1日至2022年12月31日，增值税小规模纳税人适用3%征收率的应税销售收入，免征增值税；适用3%预征率的预缴增值税项目，暂停预缴增值税。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（责任单位：市税务局）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4.扩大“六税两费”适用范围。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对增值税小规模纳税人、小型微利企业和个体工商户，按照50%幅度减征资源税、城市维护建设税、房产税、城镇土地使用税、印花税（不含证券交易印花税）、耕地占用税和教育费附加、地方教育附加。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执行时间至2024年12月31日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（责任单位：市税务局）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5.加大中小微企业所得税减税力度。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2021年1月1日至2022年12月31日，对小型微利企业年应纳税所得额不超过100万元的部分，减按12.5%计入应纳税所得额，按20%的税率缴纳企业所得税;2022年1月1日至2024年12月31日，对小型微利企业年应纳税所得额超过100万元但不超过300万元的部分，减按25%计入应纳税所得额，按20%的税率缴纳企业所得税。自2022年1月1日起，将科技型中小企业研发费用企业所得税加计扣除比例从75％提高到100％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（责任单位：市税务局）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6.加大中小微企业设备器具税前扣除力度。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小微企业2022年度内新购置的单位价值500万元以上的设备器具，最低折旧年限为3年的，单位价值的100%可在当年一次性税前扣除；最低折旧年限为4年、5年、10年的，单位价值的50%可在当年一次性税前扣除，其余50%按规定在剩余年度计算折旧进行税前扣除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（责任单位：市税务局）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7.延续降低费率和社保返还政策。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2022年延续实施阶段性下调失业保险费率、工伤保险费率政策。对不裁员、少裁员的企业继续实施普惠性失业保险稳岗返还政策，其中2022年度服务业领域中小微企业返还比例从60%提高到90%。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（责任单位：市人力社保局、市财政局、市税务局，排序第一为牵头单位，下同。）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8.降低企业用能成本。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全市用电设备容量在160千瓦以下（主城区范围内200千瓦以下）的中小企业采取低压方式接入电网，计量装置及以上工程由供电企业投资建设。电压等级不满1千伏工商业用户，现货市场运行时，不承担辅助服务、成本补偿等市场分摊费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责任单位：市发展改革委、嘉兴电力局，各县（市、区）政府，嘉兴经济技术开发区（国际商务区）、嘉兴港区管委会）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9.加大融资担保支持力度。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鼓励融资担保机构为符合条件的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餐饮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、批发、零售、旅游、交通、商务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服务业中小微企业提供融资增信支持，简化审批流程，担保费降至1%以下，依法依约及时履行代偿责任，积极帮助受疫情影响企业续保续贷。对服务业中小微企业提供担保业务的融资担保机构，按不高于上年度月均担保余额0.5%的比例给予保费补贴。抓住宏观货币政策机遇，积极向上争取再贷款额度，加大对小微企业和个体工商户的优惠贷款发放力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责任单位：市金融办、市财政局、人行嘉兴市中心支行、嘉兴银保监分局）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10.鼓励保险机构新增产品、优化服务。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探索面向服务业新产业、新业态和灵活就业人员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推出专属保险保障，开展因疫情导致餐饮企业营业中断损失保险。在旅游服务质量保证金等领域，探索开展保险替代机制，帮助符合条件的服务业企业减少资金占用，降低财务成本。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（责任单位：嘉兴银保监分局、市商务局、市文化广电旅游局）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11.给予防疫支出补助。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给予餐饮、零售、住宿、交通运输等服务业企业防疫、消杀支出不超过50%、最高不超过5万元的补助，按照企业规模分档补贴。由企业注册地行业主管部门审核确定补助名单，提交当地疫情防控办确定，属地落实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（责任单位：各县（市、区）政府，嘉兴经济技术开发区（国际商务区）、嘉兴港区管委会）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12.水、气费缓缴。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对受疫情影响且缴纳水、气费用困难的企业，实行欠费不停供措施，疫情期间免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滞纳金、违约金。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（责任单位：嘉源集团、嘉燃集团按职责分工落实）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13.鼓励电信运营企业阶段性提供优惠产品。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电信运营企业对餐饮、零售、旅游等生活性服务业企业免费提供3-6个月5G流量包等通讯优惠产品。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（责任单位：中国移动嘉兴分公司、电信嘉兴市分公司、联通嘉兴市分公司按职责分工落实）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14.降低检验检测费用支出。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减半收取餐饮、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零售、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住宿、交通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运输业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企业电梯、水质、锅炉等检验检测费用。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（责任单位：市市场监管局）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15.缓缴住房公积金。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受疫情影响，缴存住房公积金确有困难的企业，可按规定申请缓缴住房公积金，缓缴期限不超过三个月（缓缴申请暂定到2022年6月30日）。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（责任单位：市公积金中心）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pacing w:val="-4"/>
          <w:sz w:val="32"/>
          <w:szCs w:val="32"/>
          <w:highlight w:val="none"/>
          <w:lang w:eastAsia="zh-CN"/>
        </w:rPr>
        <w:t>　　二、精准实施分行业领域纾困扶持措施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16.开展免费定期核酸检测。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将餐饮、零售、住宿业企业员工纳入免费核酸检测人群，按重点人员核酸检测要求定期开展免费核酸检测。由企业注册地行业主管部门审核确定补助名单，提交当地疫情防控办确定，属地落实。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（责任单位：各县（市、区）政府，嘉兴经济技术开发区（国际商务区）、嘉兴港区管委会）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9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17.继续开展各类促消费活动。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鼓励各地适度发放消费券，其中对南湖区、秀洲区和嘉兴经济技术开发区（国际商务区）发放的消费券，按各区实际使用额度，给予不超过20%的补助，补助金额最高不超过600万元。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（责任单位：市发展改革委、市财政局，各县（市、区）政府，嘉兴经济技术开发区（国际商务区）、嘉兴港区管委会）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4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18.暂退旅游服务质量保证金。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2022年继续实施旅行社暂退旅游服务质量保证金扶持政策，对符合条件的旅行社可按100%的比例暂退。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（责任单位：市文化广电旅游局）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19.支持旅行社按规定提供相关委托服务。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鼓励各级党政机关、各企事业单位、社会团体组织的工会活动、会展活动、商务活动等，可按规定委托旅行社代理安排交通、住宿、餐饮、会务等服务事项。推动落实市内带薪休假和开展市内疗休养，支持符合条件的旅行社承接市内疗休养业务。鼓励各级学校、教育机构在市内外开展研学活动，支持符合条件的旅行社及相关运营机构等承接研学服务业务。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（责任单位：市文化广电旅游局、市教育局、市财政局、市总工会）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20.加大对实体书店、影（剧）院等线下消费文化企业的补助。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市区符合条件承租非国有物业的实体书店，按图书经营面积予以6个月（一、二季度）补助，每平方米每月20元。对符合条件的影（剧）院按座位数、上座率等予以6个月（一、二季度）补助，每个座位每月25-30元。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（责任单位：市委宣传部，各县（市、区）政府，嘉兴经济技术开发区（国际商务区）、嘉兴港区管委会）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　　21.加快防疫保障饭店资金结算。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优化对承担防疫保障任务的旅游饭店的资金拨付流程，对承担跨区域防疫保障任务的旅游饭店，由转出地按每人次1万元预拨付要求，加快资金拨付进度；对承担当地防疫保障任务的旅游饭店，任务完成后及时进行结算。</w:t>
      </w: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（责任单位：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市卫生健康委、</w:t>
      </w: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市财政局、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市文化广电旅游局，</w:t>
      </w: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各县（市、区）政府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，嘉兴经济技术开发区（国际商务区）、嘉兴港区管委会</w:t>
      </w: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22.开展体育场所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经营防疫补贴。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对全市承租非国有物业的室内经营性体育场所，按照企业规模给予最高5万元的补助。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（责任单位：市体育局、市财政局，</w:t>
      </w: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各县（市、区）政府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，嘉兴经济技术开发区（国际商务区）、嘉兴港区管委会）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9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23.免征服务增值税。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2022年免征轮客渡、公交客运、出租车、长途客运、班车等公共交通运输服务增值税。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（责任单位：市税务局）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9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24.统筹安排中央专项资金。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各县（市、区）合理安排中央对地方转移支付的农村客运、出租车等行业成品油价格补助资金等，根据实际需要统筹安排资金，用于存在困难的新能源出租车、城市公交运营等支出。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（责任单位：各县（市、区）政府，嘉兴经济技术开发区（国际商务区）、嘉兴港区管委会）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9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25.落实高速公路差异化收费。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合法装载国际标准集装箱运输专用车辆，落实高速公路通行费六五折优惠政策。对使用我省发行的电子不停车收费（ETC）车载装置的合法装载货运车辆，实行省属及市、县（市、区）属国有全资或控股的高速公路路段通行费八五折优惠政策。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（责任单位：市交通运输局、市发展改革委、市财政局、市市场监管局）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9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26.继续实施鲜活农产品运输“绿色通道”政策。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对整车合法装载运输全国统一《鲜活农产品品种目录》内产品的车辆，免收车辆通行费。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（责任单位：市交通运输局、嘉通集团）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9"/>
        <w:textAlignment w:val="auto"/>
        <w:rPr>
          <w:rFonts w:hint="eastAsia" w:ascii="黑体" w:hAnsi="黑体" w:eastAsia="黑体" w:cs="黑体"/>
          <w:color w:val="000000" w:themeColor="text1"/>
          <w:spacing w:val="-4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4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三、切实加强服务保障措施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9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27.精准实施疫情防控措施。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施精准监测机制，运用大数据手段建立园区、餐厅、商超、景点、物流等重点区域、重点行业从业人员库，高效抓好流调“黄金24小时”，强化精准管控隔离，提高服务业从业人员等重点人群新冠病毒疫苗接种率，定期免费开展重点行业核酸检测，有效恢复和保持经济发展正常秩序。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（责任单位：市防控办，各县（市、区）政府，嘉兴经济技术开发区（国际商务区）、嘉兴港区管委会）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9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28.开展“三乱”专项整治行动。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研究实施乱收费、乱摊派、乱罚款专项整治行动，有效规范涉企收费行为，完善整治涉企乱收费协同治理和联合惩戒机制，防止对服务业的各项助企纾困政策效果被“三乱”抵消。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（责任单位：市市场监管局、市财政局，各县（市、区）政府，嘉兴经济技术开发区（国际商务区）、嘉兴港区管委会）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29.加速兑现服务业扶持资金。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加快各类涉及服务业企业专项资金执行进度，做到早分配、早使用、早见效，力争上半年达到60%。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（责任单位：市财政局、各行业主管部门，各县（市、区）政府，嘉兴经济技术开发区（国际商务区）、嘉兴港区管委会）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30.加强企业信用修复。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受疫情影响，无法按时办理相关证照及行政审批事项的企业，可申请延迟办理，相关延迟行为不纳入信用记录，已纳入信用记录的，可申请信用修复。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（责任单位：市市场监管局）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意见的操作细则，由相应行业主管部门出台并负责解释，与原有政策冲突的，按“就高不重复”原则执行，同等条件下被“信用中国（浙江）”列为良好及以上的企业（单位）优先。本意见自印发之日起实施，除已明确外，执行期限至2022年12月31日。中央、省出台相关新的支持政策，一并遵照执行。涉及市级财政支持的，由市、区两级各承担50%，资金由各级财政统筹安排。各县（市）、嘉兴港区参照执行，由当地财政全额承担。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DF5B31"/>
    <w:rsid w:val="0BFA709D"/>
    <w:rsid w:val="0E5BF83E"/>
    <w:rsid w:val="116F6610"/>
    <w:rsid w:val="16B9FD35"/>
    <w:rsid w:val="1EC3D44B"/>
    <w:rsid w:val="1F0B0C84"/>
    <w:rsid w:val="1F1826C4"/>
    <w:rsid w:val="1FCB7D4D"/>
    <w:rsid w:val="1FFA58EA"/>
    <w:rsid w:val="279F4AEF"/>
    <w:rsid w:val="2AEBA554"/>
    <w:rsid w:val="2DBDCFAA"/>
    <w:rsid w:val="2DDE822F"/>
    <w:rsid w:val="2F6423D9"/>
    <w:rsid w:val="2FB72AA1"/>
    <w:rsid w:val="2FEE4EDA"/>
    <w:rsid w:val="2FEF9325"/>
    <w:rsid w:val="333FF319"/>
    <w:rsid w:val="34EF0752"/>
    <w:rsid w:val="34FA2242"/>
    <w:rsid w:val="357F669F"/>
    <w:rsid w:val="373BFC51"/>
    <w:rsid w:val="392AFC71"/>
    <w:rsid w:val="3B4BE4DA"/>
    <w:rsid w:val="3BEFEED1"/>
    <w:rsid w:val="3BFCF266"/>
    <w:rsid w:val="3DBF3F4F"/>
    <w:rsid w:val="3E2D2F95"/>
    <w:rsid w:val="3E7B2DCD"/>
    <w:rsid w:val="3E7B49BA"/>
    <w:rsid w:val="3E8ECF90"/>
    <w:rsid w:val="3FB66289"/>
    <w:rsid w:val="3FCF4467"/>
    <w:rsid w:val="3FFAFE23"/>
    <w:rsid w:val="3FFE40EA"/>
    <w:rsid w:val="43CBB62E"/>
    <w:rsid w:val="4BF753D5"/>
    <w:rsid w:val="4DE4E346"/>
    <w:rsid w:val="4E58078A"/>
    <w:rsid w:val="5379A5A2"/>
    <w:rsid w:val="593EE253"/>
    <w:rsid w:val="5B5F17CE"/>
    <w:rsid w:val="5BFFBD89"/>
    <w:rsid w:val="5D76BDE8"/>
    <w:rsid w:val="5DDBE0CB"/>
    <w:rsid w:val="5DFD7AB0"/>
    <w:rsid w:val="5DFE4D27"/>
    <w:rsid w:val="5F7D476C"/>
    <w:rsid w:val="5FDD5780"/>
    <w:rsid w:val="5FFA8D8B"/>
    <w:rsid w:val="5FFB9A71"/>
    <w:rsid w:val="5FFBBF94"/>
    <w:rsid w:val="5FFFECB7"/>
    <w:rsid w:val="66B72043"/>
    <w:rsid w:val="66CFB986"/>
    <w:rsid w:val="679F9AA7"/>
    <w:rsid w:val="6BD53233"/>
    <w:rsid w:val="6C5F70A9"/>
    <w:rsid w:val="6D9D2AF8"/>
    <w:rsid w:val="6D9E6609"/>
    <w:rsid w:val="6DB69011"/>
    <w:rsid w:val="6DCFA359"/>
    <w:rsid w:val="6E3E200F"/>
    <w:rsid w:val="6E8FC5E3"/>
    <w:rsid w:val="6F3FD570"/>
    <w:rsid w:val="6F70B985"/>
    <w:rsid w:val="72FF5787"/>
    <w:rsid w:val="75E5D282"/>
    <w:rsid w:val="75FB6F2F"/>
    <w:rsid w:val="76BFBA8F"/>
    <w:rsid w:val="76F9E4C8"/>
    <w:rsid w:val="76FC8C0F"/>
    <w:rsid w:val="77BFFF98"/>
    <w:rsid w:val="7ABF43FE"/>
    <w:rsid w:val="7ADF9E54"/>
    <w:rsid w:val="7B7FD3F5"/>
    <w:rsid w:val="7BBBC6FF"/>
    <w:rsid w:val="7BC37133"/>
    <w:rsid w:val="7BD1B741"/>
    <w:rsid w:val="7BFB5C82"/>
    <w:rsid w:val="7BFE920A"/>
    <w:rsid w:val="7BFFC282"/>
    <w:rsid w:val="7CFF5BAC"/>
    <w:rsid w:val="7D3FDCA8"/>
    <w:rsid w:val="7D6F3825"/>
    <w:rsid w:val="7D9E7454"/>
    <w:rsid w:val="7DDF07D9"/>
    <w:rsid w:val="7DEB55B2"/>
    <w:rsid w:val="7EB4DDE0"/>
    <w:rsid w:val="7EFCAE41"/>
    <w:rsid w:val="7EFEBE8C"/>
    <w:rsid w:val="7F5EF7FE"/>
    <w:rsid w:val="7F6F415E"/>
    <w:rsid w:val="7F7D12FD"/>
    <w:rsid w:val="7F7F5F48"/>
    <w:rsid w:val="7F7FC585"/>
    <w:rsid w:val="7FBF8BC8"/>
    <w:rsid w:val="7FBF8E15"/>
    <w:rsid w:val="7FD99AC2"/>
    <w:rsid w:val="7FE5EA64"/>
    <w:rsid w:val="7FF6834A"/>
    <w:rsid w:val="7FF8EF30"/>
    <w:rsid w:val="7FFDC219"/>
    <w:rsid w:val="7FFF08B2"/>
    <w:rsid w:val="7FFF4055"/>
    <w:rsid w:val="7FFF581A"/>
    <w:rsid w:val="7FFFF8A6"/>
    <w:rsid w:val="877FA1A4"/>
    <w:rsid w:val="8E9DE2B3"/>
    <w:rsid w:val="8F9F31D1"/>
    <w:rsid w:val="A3F7BDFF"/>
    <w:rsid w:val="A4DD01D6"/>
    <w:rsid w:val="A6DFCDDC"/>
    <w:rsid w:val="ADFE995A"/>
    <w:rsid w:val="B7D97DC5"/>
    <w:rsid w:val="BAEF3809"/>
    <w:rsid w:val="BBB8582C"/>
    <w:rsid w:val="BCBF48F8"/>
    <w:rsid w:val="BD3AEE4C"/>
    <w:rsid w:val="BD5C71B8"/>
    <w:rsid w:val="BDCEF00B"/>
    <w:rsid w:val="BEED6F4B"/>
    <w:rsid w:val="BEEEA81B"/>
    <w:rsid w:val="BFBA485D"/>
    <w:rsid w:val="BFFC7385"/>
    <w:rsid w:val="BFFFB083"/>
    <w:rsid w:val="BFFFF5A6"/>
    <w:rsid w:val="C6D78BBF"/>
    <w:rsid w:val="CFEFEEE4"/>
    <w:rsid w:val="CFFF29B3"/>
    <w:rsid w:val="D3EE5B75"/>
    <w:rsid w:val="D73EA340"/>
    <w:rsid w:val="D77B1A76"/>
    <w:rsid w:val="D9E5F608"/>
    <w:rsid w:val="DAFB5F50"/>
    <w:rsid w:val="DAFD9260"/>
    <w:rsid w:val="DBB3CCB5"/>
    <w:rsid w:val="DBBF0710"/>
    <w:rsid w:val="DBBF992C"/>
    <w:rsid w:val="DBDE26B8"/>
    <w:rsid w:val="DD5DD8D5"/>
    <w:rsid w:val="DF5F3213"/>
    <w:rsid w:val="DFD7EA6F"/>
    <w:rsid w:val="DFE7FDCC"/>
    <w:rsid w:val="DFFEA35E"/>
    <w:rsid w:val="E25E917D"/>
    <w:rsid w:val="E25F5B3F"/>
    <w:rsid w:val="E3CBC8CB"/>
    <w:rsid w:val="E3FB81DD"/>
    <w:rsid w:val="E69B1DB8"/>
    <w:rsid w:val="E7EF81C7"/>
    <w:rsid w:val="EA72129A"/>
    <w:rsid w:val="EB7AB379"/>
    <w:rsid w:val="ECD75222"/>
    <w:rsid w:val="ED7FD5E7"/>
    <w:rsid w:val="EDDFCE4F"/>
    <w:rsid w:val="EDFB82D8"/>
    <w:rsid w:val="EF993B39"/>
    <w:rsid w:val="EFBFA188"/>
    <w:rsid w:val="EFBFBB6D"/>
    <w:rsid w:val="EFDECB02"/>
    <w:rsid w:val="EFEBA0DE"/>
    <w:rsid w:val="F085DB7B"/>
    <w:rsid w:val="F1BF8C18"/>
    <w:rsid w:val="F55D2F68"/>
    <w:rsid w:val="F5F7DB1F"/>
    <w:rsid w:val="F6772D7F"/>
    <w:rsid w:val="F7CB3110"/>
    <w:rsid w:val="F7DF58E9"/>
    <w:rsid w:val="F7FB628D"/>
    <w:rsid w:val="F9C3488A"/>
    <w:rsid w:val="F9DFB752"/>
    <w:rsid w:val="F9FE80D5"/>
    <w:rsid w:val="FB3A7307"/>
    <w:rsid w:val="FBAFE1E5"/>
    <w:rsid w:val="FCFE85C1"/>
    <w:rsid w:val="FDABAC43"/>
    <w:rsid w:val="FDEC44A9"/>
    <w:rsid w:val="FDF6A3BC"/>
    <w:rsid w:val="FE77D711"/>
    <w:rsid w:val="FEDF5B31"/>
    <w:rsid w:val="FEF74B7B"/>
    <w:rsid w:val="FEFFC4EE"/>
    <w:rsid w:val="FEFFD8F4"/>
    <w:rsid w:val="FF0B304C"/>
    <w:rsid w:val="FF7638E5"/>
    <w:rsid w:val="FF7A83E8"/>
    <w:rsid w:val="FF8E06FD"/>
    <w:rsid w:val="FF97C69A"/>
    <w:rsid w:val="FF9D5944"/>
    <w:rsid w:val="FF9E4599"/>
    <w:rsid w:val="FFAF4E8E"/>
    <w:rsid w:val="FFAF948F"/>
    <w:rsid w:val="FFD575F9"/>
    <w:rsid w:val="FFDF336F"/>
    <w:rsid w:val="FFE2C2AC"/>
    <w:rsid w:val="FFF6EEC5"/>
    <w:rsid w:val="FFFBB147"/>
    <w:rsid w:val="FFFF56B6"/>
    <w:rsid w:val="FFFF7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4823</Words>
  <Characters>5026</Characters>
  <Lines>0</Lines>
  <Paragraphs>0</Paragraphs>
  <TotalTime>27</TotalTime>
  <ScaleCrop>false</ScaleCrop>
  <LinksUpToDate>false</LinksUpToDate>
  <CharactersWithSpaces>5037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2022-04-12T10:11:00Z</dcterms:created>
  <dc:creator>张煌(zhangh)</dc:creator>
  <cp:lastModifiedBy>张煌(zhangh)</cp:lastModifiedBy>
  <cp:lastPrinted>2022-04-13T21:52:00Z</cp:lastPrinted>
  <dcterms:modified xsi:type="dcterms:W3CDTF">2022-04-13T12:04:43Z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