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spacing w:after="156" w:afterLines="50"/>
        <w:jc w:val="center"/>
        <w:outlineLvl w:val="2"/>
        <w:rPr>
          <w:rFonts w:ascii="方正小标宋简体" w:hAnsi="Times New Roman" w:eastAsia="方正小标宋简体"/>
          <w:bCs/>
          <w:sz w:val="36"/>
          <w:szCs w:val="36"/>
        </w:rPr>
      </w:pPr>
      <w:bookmarkStart w:id="0" w:name="_GoBack"/>
      <w:bookmarkEnd w:id="0"/>
      <w:r>
        <w:rPr>
          <w:rFonts w:hint="eastAsia" w:ascii="方正小标宋简体" w:hAnsi="Times New Roman" w:eastAsia="方正小标宋简体"/>
          <w:bCs/>
          <w:sz w:val="36"/>
          <w:szCs w:val="36"/>
        </w:rPr>
        <w:t>嘉兴市群众信访举报转办和边督边改公开情况一览表</w:t>
      </w:r>
    </w:p>
    <w:p>
      <w:pPr>
        <w:spacing w:line="600" w:lineRule="exact"/>
        <w:jc w:val="right"/>
        <w:rPr>
          <w:rFonts w:ascii="Times New Roman" w:hAnsi="Times New Roman" w:eastAsia="华文中宋"/>
          <w:sz w:val="32"/>
          <w:szCs w:val="32"/>
        </w:rPr>
      </w:pPr>
      <w:r>
        <w:rPr>
          <w:rFonts w:ascii="Times New Roman" w:hAnsi="Times New Roman" w:eastAsia="仿宋_GB2312"/>
          <w:sz w:val="28"/>
          <w:szCs w:val="28"/>
        </w:rPr>
        <w:t>（第</w:t>
      </w:r>
      <w:r>
        <w:rPr>
          <w:rFonts w:hint="eastAsia" w:ascii="Times New Roman" w:hAnsi="Times New Roman" w:eastAsia="仿宋_GB2312"/>
          <w:sz w:val="28"/>
          <w:szCs w:val="28"/>
          <w:u w:val="single"/>
          <w:lang w:val="en-US" w:eastAsia="zh-CN"/>
        </w:rPr>
        <w:t>二</w:t>
      </w:r>
      <w:r>
        <w:rPr>
          <w:rFonts w:ascii="Times New Roman" w:hAnsi="Times New Roman" w:eastAsia="仿宋_GB2312"/>
          <w:sz w:val="28"/>
          <w:szCs w:val="28"/>
        </w:rPr>
        <w:t>批，20</w:t>
      </w:r>
      <w:r>
        <w:rPr>
          <w:rFonts w:hint="eastAsia" w:ascii="Times New Roman" w:hAnsi="Times New Roman" w:eastAsia="仿宋_GB2312"/>
          <w:sz w:val="28"/>
          <w:szCs w:val="28"/>
        </w:rPr>
        <w:t>21</w:t>
      </w:r>
      <w:r>
        <w:rPr>
          <w:rFonts w:ascii="Times New Roman" w:hAnsi="Times New Roman" w:eastAsia="仿宋_GB2312"/>
          <w:sz w:val="28"/>
          <w:szCs w:val="28"/>
        </w:rPr>
        <w:t>年</w:t>
      </w:r>
      <w:r>
        <w:rPr>
          <w:rFonts w:hint="eastAsia" w:ascii="Times New Roman" w:hAnsi="Times New Roman" w:eastAsia="仿宋_GB2312"/>
          <w:sz w:val="28"/>
          <w:szCs w:val="28"/>
          <w:u w:val="single"/>
          <w:lang w:val="en-US" w:eastAsia="zh-CN"/>
        </w:rPr>
        <w:t>9</w:t>
      </w:r>
      <w:r>
        <w:rPr>
          <w:rFonts w:ascii="Times New Roman" w:hAnsi="Times New Roman" w:eastAsia="仿宋_GB2312"/>
          <w:sz w:val="28"/>
          <w:szCs w:val="28"/>
        </w:rPr>
        <w:t>月</w:t>
      </w:r>
      <w:r>
        <w:rPr>
          <w:rFonts w:hint="eastAsia" w:ascii="Times New Roman" w:hAnsi="Times New Roman" w:eastAsia="仿宋_GB2312"/>
          <w:sz w:val="28"/>
          <w:szCs w:val="28"/>
          <w:u w:val="single"/>
          <w:lang w:val="en-US" w:eastAsia="zh-CN"/>
        </w:rPr>
        <w:t>2</w:t>
      </w:r>
      <w:r>
        <w:rPr>
          <w:rFonts w:ascii="Times New Roman" w:hAnsi="Times New Roman" w:eastAsia="仿宋_GB2312"/>
          <w:sz w:val="28"/>
          <w:szCs w:val="28"/>
        </w:rPr>
        <w:t>日）</w:t>
      </w:r>
    </w:p>
    <w:tbl>
      <w:tblPr>
        <w:tblStyle w:val="4"/>
        <w:tblW w:w="1416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17"/>
        <w:gridCol w:w="983"/>
        <w:gridCol w:w="833"/>
        <w:gridCol w:w="1184"/>
        <w:gridCol w:w="1923"/>
        <w:gridCol w:w="993"/>
        <w:gridCol w:w="3635"/>
        <w:gridCol w:w="825"/>
        <w:gridCol w:w="2540"/>
        <w:gridCol w:w="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17"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rPr>
            </w:pPr>
            <w:r>
              <w:rPr>
                <w:rFonts w:ascii="Times New Roman" w:hAnsi="Times New Roman"/>
                <w:b/>
                <w:szCs w:val="21"/>
              </w:rPr>
              <w:t>序号</w:t>
            </w:r>
          </w:p>
        </w:tc>
        <w:tc>
          <w:tcPr>
            <w:tcW w:w="98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rPr>
            </w:pPr>
            <w:r>
              <w:rPr>
                <w:rFonts w:ascii="Times New Roman" w:hAnsi="Times New Roman"/>
                <w:b/>
                <w:szCs w:val="21"/>
              </w:rPr>
              <w:t>受理</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rPr>
            </w:pPr>
            <w:r>
              <w:rPr>
                <w:rFonts w:ascii="Times New Roman" w:hAnsi="Times New Roman"/>
                <w:b/>
                <w:szCs w:val="21"/>
              </w:rPr>
              <w:t>编号</w:t>
            </w:r>
          </w:p>
        </w:tc>
        <w:tc>
          <w:tcPr>
            <w:tcW w:w="83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b/>
                <w:szCs w:val="21"/>
              </w:rPr>
            </w:pPr>
            <w:r>
              <w:rPr>
                <w:rFonts w:hint="eastAsia" w:ascii="Times New Roman" w:hAnsi="Times New Roman"/>
                <w:b/>
                <w:szCs w:val="21"/>
              </w:rPr>
              <w:t>举报地市</w:t>
            </w:r>
          </w:p>
        </w:tc>
        <w:tc>
          <w:tcPr>
            <w:tcW w:w="1184"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b/>
                <w:szCs w:val="21"/>
              </w:rPr>
            </w:pPr>
            <w:r>
              <w:rPr>
                <w:rFonts w:hint="eastAsia" w:ascii="Times New Roman" w:hAnsi="Times New Roman"/>
                <w:b/>
                <w:szCs w:val="21"/>
              </w:rPr>
              <w:t>举报县（市、区）</w:t>
            </w:r>
          </w:p>
        </w:tc>
        <w:tc>
          <w:tcPr>
            <w:tcW w:w="192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ascii="Times New Roman" w:hAnsi="Times New Roman"/>
                <w:b/>
                <w:szCs w:val="21"/>
              </w:rPr>
            </w:pPr>
            <w:r>
              <w:rPr>
                <w:rFonts w:hint="eastAsia" w:ascii="Times New Roman" w:hAnsi="Times New Roman"/>
                <w:b/>
                <w:szCs w:val="21"/>
              </w:rPr>
              <w:t>举报内容</w:t>
            </w:r>
          </w:p>
        </w:tc>
        <w:tc>
          <w:tcPr>
            <w:tcW w:w="993"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rPr>
            </w:pPr>
            <w:r>
              <w:rPr>
                <w:rFonts w:ascii="Times New Roman" w:hAnsi="Times New Roman"/>
                <w:b/>
                <w:szCs w:val="21"/>
              </w:rPr>
              <w:t>污染类型</w:t>
            </w:r>
          </w:p>
        </w:tc>
        <w:tc>
          <w:tcPr>
            <w:tcW w:w="363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rPr>
            </w:pPr>
            <w:r>
              <w:rPr>
                <w:rFonts w:ascii="Times New Roman" w:hAnsi="Times New Roman"/>
                <w:b/>
                <w:szCs w:val="21"/>
              </w:rPr>
              <w:t>调查核实情况</w:t>
            </w:r>
          </w:p>
        </w:tc>
        <w:tc>
          <w:tcPr>
            <w:tcW w:w="825"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rPr>
            </w:pPr>
            <w:r>
              <w:rPr>
                <w:rFonts w:ascii="Times New Roman" w:hAnsi="Times New Roman"/>
                <w:b/>
                <w:szCs w:val="21"/>
              </w:rPr>
              <w:t>是否属实</w:t>
            </w:r>
          </w:p>
        </w:tc>
        <w:tc>
          <w:tcPr>
            <w:tcW w:w="254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rPr>
            </w:pPr>
            <w:r>
              <w:rPr>
                <w:rFonts w:ascii="Times New Roman" w:hAnsi="Times New Roman"/>
                <w:b/>
                <w:szCs w:val="21"/>
              </w:rPr>
              <w:t>处理和</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rPr>
            </w:pPr>
            <w:r>
              <w:rPr>
                <w:rFonts w:ascii="Times New Roman" w:hAnsi="Times New Roman"/>
                <w:b/>
                <w:szCs w:val="21"/>
              </w:rPr>
              <w:t>整改情况</w:t>
            </w:r>
          </w:p>
        </w:tc>
        <w:tc>
          <w:tcPr>
            <w:tcW w:w="732"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ascii="Times New Roman" w:hAnsi="Times New Roman"/>
                <w:b/>
                <w:szCs w:val="21"/>
              </w:rPr>
            </w:pPr>
            <w:r>
              <w:rPr>
                <w:rFonts w:hint="eastAsia" w:ascii="Times New Roman" w:hAnsi="Times New Roman"/>
                <w:b/>
                <w:szCs w:val="21"/>
              </w:rPr>
              <w:t>问责</w:t>
            </w:r>
            <w:r>
              <w:rPr>
                <w:rFonts w:ascii="Times New Roman" w:hAnsi="Times New Roman"/>
                <w:b/>
                <w:szCs w:val="21"/>
              </w:rPr>
              <w:t>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517" w:type="dxa"/>
            <w:vAlign w:val="center"/>
          </w:tcPr>
          <w:p>
            <w:pPr>
              <w:spacing w:line="400" w:lineRule="exact"/>
              <w:jc w:val="center"/>
              <w:rPr>
                <w:rFonts w:ascii="Times New Roman" w:hAnsi="Times New Roman"/>
                <w:szCs w:val="21"/>
              </w:rPr>
            </w:pPr>
            <w:r>
              <w:rPr>
                <w:rFonts w:ascii="Times New Roman" w:hAnsi="Times New Roman"/>
                <w:szCs w:val="21"/>
              </w:rPr>
              <w:t>1</w:t>
            </w:r>
          </w:p>
        </w:tc>
        <w:tc>
          <w:tcPr>
            <w:tcW w:w="983" w:type="dxa"/>
            <w:vAlign w:val="center"/>
          </w:tcPr>
          <w:p>
            <w:pPr>
              <w:widowControl/>
              <w:jc w:val="center"/>
              <w:textAlignment w:val="center"/>
              <w:rPr>
                <w:rFonts w:ascii="Times New Roman" w:hAnsi="Times New Roman"/>
                <w:szCs w:val="21"/>
              </w:rPr>
            </w:pPr>
            <w:r>
              <w:rPr>
                <w:rFonts w:ascii="Times New Roman" w:hAnsi="Times New Roman"/>
                <w:color w:val="000000"/>
                <w:kern w:val="0"/>
                <w:sz w:val="20"/>
                <w:szCs w:val="20"/>
              </w:rPr>
              <w:t>D202109020013</w:t>
            </w:r>
          </w:p>
        </w:tc>
        <w:tc>
          <w:tcPr>
            <w:tcW w:w="833" w:type="dxa"/>
            <w:vAlign w:val="center"/>
          </w:tcPr>
          <w:p>
            <w:pPr>
              <w:widowControl/>
              <w:jc w:val="center"/>
              <w:textAlignment w:val="center"/>
              <w:rPr>
                <w:rFonts w:ascii="Times New Roman" w:hAnsi="Times New Roman"/>
                <w:szCs w:val="21"/>
              </w:rPr>
            </w:pPr>
            <w:r>
              <w:rPr>
                <w:rFonts w:hint="eastAsia" w:ascii="宋体" w:hAnsi="宋体" w:cs="宋体"/>
                <w:color w:val="000000"/>
                <w:kern w:val="0"/>
                <w:sz w:val="20"/>
                <w:szCs w:val="20"/>
              </w:rPr>
              <w:t>嘉兴市</w:t>
            </w:r>
          </w:p>
        </w:tc>
        <w:tc>
          <w:tcPr>
            <w:tcW w:w="1184" w:type="dxa"/>
            <w:vAlign w:val="center"/>
          </w:tcPr>
          <w:p>
            <w:pPr>
              <w:widowControl/>
              <w:jc w:val="center"/>
              <w:textAlignment w:val="center"/>
              <w:rPr>
                <w:rFonts w:ascii="Times New Roman" w:hAnsi="Times New Roman"/>
                <w:szCs w:val="21"/>
              </w:rPr>
            </w:pPr>
            <w:r>
              <w:rPr>
                <w:rFonts w:hint="eastAsia" w:ascii="宋体" w:hAnsi="宋体" w:cs="宋体"/>
                <w:color w:val="000000"/>
                <w:kern w:val="0"/>
                <w:sz w:val="20"/>
                <w:szCs w:val="20"/>
              </w:rPr>
              <w:t>经开区</w:t>
            </w:r>
          </w:p>
        </w:tc>
        <w:tc>
          <w:tcPr>
            <w:tcW w:w="1923" w:type="dxa"/>
            <w:vAlign w:val="center"/>
          </w:tcPr>
          <w:p>
            <w:pPr>
              <w:widowControl/>
              <w:textAlignment w:val="center"/>
              <w:rPr>
                <w:rFonts w:ascii="宋体" w:hAnsi="宋体" w:cs="宋体"/>
                <w:color w:val="000000"/>
                <w:kern w:val="0"/>
                <w:sz w:val="20"/>
                <w:szCs w:val="20"/>
              </w:rPr>
            </w:pPr>
            <w:r>
              <w:rPr>
                <w:rFonts w:hint="eastAsia" w:ascii="宋体" w:hAnsi="宋体" w:cs="宋体"/>
                <w:color w:val="000000"/>
                <w:kern w:val="0"/>
                <w:sz w:val="20"/>
                <w:szCs w:val="20"/>
              </w:rPr>
              <w:t>今年4月9号至4月15号发现姚家荡南段水面有大量油污，曾经向市治水办反映但没有收到其反馈和奖励，污染源是千岛湖饮用水工程。8月4号至8月5号优百特电器有限公司厂区大量排风扇导致厂区外绿化有粉尘，并伴异味，拨打经开区生态环境应急电话，至今未收到反馈，也未作处理。洪殷路万科悦声名苑边黑臭无名河距离石臼漾河仅200米，后者是嘉兴市重点饮用水水源保护区，5月2号向市长专线和嘉兴市生态环境应急电话反映，均未收到反馈。</w:t>
            </w:r>
          </w:p>
          <w:p>
            <w:pPr>
              <w:widowControl/>
              <w:textAlignment w:val="center"/>
              <w:rPr>
                <w:rFonts w:ascii="宋体" w:hAnsi="宋体" w:cs="宋体"/>
                <w:color w:val="000000"/>
                <w:kern w:val="0"/>
                <w:sz w:val="20"/>
                <w:szCs w:val="20"/>
              </w:rPr>
            </w:pPr>
          </w:p>
        </w:tc>
        <w:tc>
          <w:tcPr>
            <w:tcW w:w="993" w:type="dxa"/>
            <w:vAlign w:val="center"/>
          </w:tcPr>
          <w:p>
            <w:pPr>
              <w:widowControl/>
              <w:jc w:val="center"/>
              <w:textAlignment w:val="center"/>
              <w:rPr>
                <w:rFonts w:ascii="Times New Roman" w:hAnsi="Times New Roman"/>
                <w:szCs w:val="21"/>
              </w:rPr>
            </w:pPr>
            <w:r>
              <w:rPr>
                <w:rFonts w:hint="eastAsia" w:ascii="宋体" w:hAnsi="宋体" w:cs="宋体"/>
                <w:color w:val="000000"/>
                <w:kern w:val="0"/>
                <w:sz w:val="20"/>
                <w:szCs w:val="20"/>
              </w:rPr>
              <w:t>水、大气、粉尘</w:t>
            </w:r>
          </w:p>
        </w:tc>
        <w:tc>
          <w:tcPr>
            <w:tcW w:w="3635" w:type="dxa"/>
            <w:vAlign w:val="center"/>
          </w:tcPr>
          <w:p>
            <w:pPr>
              <w:widowControl/>
              <w:spacing w:line="240" w:lineRule="exact"/>
              <w:ind w:firstLine="402" w:firstLineChars="200"/>
              <w:textAlignment w:val="center"/>
              <w:rPr>
                <w:rFonts w:ascii="宋体" w:hAnsi="宋体" w:cs="宋体"/>
                <w:color w:val="000000"/>
                <w:kern w:val="0"/>
                <w:sz w:val="20"/>
                <w:szCs w:val="20"/>
              </w:rPr>
            </w:pPr>
            <w:r>
              <w:rPr>
                <w:rFonts w:hint="eastAsia" w:ascii="宋体" w:hAnsi="宋体" w:cs="宋体"/>
                <w:b/>
                <w:bCs/>
                <w:color w:val="000000"/>
                <w:kern w:val="0"/>
                <w:sz w:val="20"/>
                <w:szCs w:val="20"/>
              </w:rPr>
              <w:t>问题1</w:t>
            </w:r>
            <w:r>
              <w:rPr>
                <w:rFonts w:hint="eastAsia" w:ascii="宋体" w:hAnsi="宋体" w:cs="宋体"/>
                <w:color w:val="000000"/>
                <w:kern w:val="0"/>
                <w:sz w:val="20"/>
                <w:szCs w:val="20"/>
              </w:rPr>
              <w:t>关于“今年4月9号至4月15号发现姚家荡南段水面有大量油污，曾经向市治水办反映但没有收到其反馈和奖励，污染源是千岛湖饮用水工程”。</w:t>
            </w:r>
          </w:p>
          <w:p>
            <w:pPr>
              <w:widowControl/>
              <w:spacing w:line="240" w:lineRule="exact"/>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经嘉兴市治水办认证查询核实，2021年 4 月未接到涉及经济开发区姚家荡南段水面的相关举报内容。另2021年4月15日，城南街道曾接到反映姚家荡南侧和北木桥港水面有油污的市长电话(JXDH20210142915，2021年4月15日)，经经开区生态环境分局和城南街道联合调查，该市长电话内容基本属实。</w:t>
            </w:r>
          </w:p>
          <w:p>
            <w:pPr>
              <w:widowControl/>
              <w:spacing w:line="240" w:lineRule="exact"/>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2021年4月15日，现场发现千岛湖引水工程在北木桥港西段靠近姚家荡处有泥浆水流出，导致河面漂浮泥浆水，并非油污。北木桥港为位于姚家荡南段东侧的一条东西向河道，接入姚家荡，泥浆水流入北木桥港后扩散到姚家荡南段。城南街道第一时间联系千岛湖引水工程的施工单位相关负责人，及时对管子接口进行维修，当日即维修完毕，并由综合行政执法部门对千岛湖引水工程具体施工单位嘉兴市众帮物流有限公司依法进行行政处罚(嘉经综执〔2021〕罚决字第 04-0071 号)。同时联系保洁单位对河道进行清理保洁，当日即清理完毕。</w:t>
            </w:r>
          </w:p>
          <w:p>
            <w:pPr>
              <w:widowControl/>
              <w:spacing w:line="240" w:lineRule="exact"/>
              <w:ind w:firstLine="400" w:firstLineChars="200"/>
              <w:textAlignment w:val="center"/>
              <w:rPr>
                <w:rFonts w:hint="eastAsia" w:ascii="宋体" w:hAnsi="宋体" w:cs="宋体"/>
                <w:color w:val="000000"/>
                <w:kern w:val="0"/>
                <w:sz w:val="20"/>
                <w:szCs w:val="20"/>
              </w:rPr>
            </w:pPr>
            <w:r>
              <w:rPr>
                <w:rFonts w:ascii="宋体" w:hAnsi="宋体" w:cs="宋体"/>
                <w:color w:val="000000"/>
                <w:kern w:val="0"/>
                <w:sz w:val="20"/>
                <w:szCs w:val="20"/>
              </w:rPr>
              <w:t>城南街道回复该市长电话内容为</w:t>
            </w:r>
            <w:r>
              <w:rPr>
                <w:rFonts w:hint="eastAsia" w:ascii="宋体" w:hAnsi="宋体" w:cs="宋体"/>
                <w:color w:val="000000"/>
                <w:kern w:val="0"/>
                <w:sz w:val="20"/>
                <w:szCs w:val="20"/>
              </w:rPr>
              <w:t>：经现场查看，发现千岛湖引水工程在泥浆池抽污水的管子接口处没有拧紧，有渗漏现象并流至北木桥港。现已对接督促其进行整改，并由行政执法部门进行行政处罚。接到应急中心答复后，城南街道已于4月21日在浙江省统一政务咨询投诉举报平台上将处理结果答复信访人。</w:t>
            </w:r>
          </w:p>
          <w:p>
            <w:pPr>
              <w:widowControl/>
              <w:spacing w:line="240" w:lineRule="exact"/>
              <w:ind w:firstLine="400" w:firstLineChars="200"/>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2021年9月3日，接到省委生态环境保护专项督察工作组交办单后，经开区生态环境分局和城南街道再次前往姚家荡南段进行巡查，目前水质正常，河面清洁，无漂浮物。</w:t>
            </w:r>
          </w:p>
          <w:p>
            <w:pPr>
              <w:widowControl/>
              <w:spacing w:line="240" w:lineRule="exact"/>
              <w:ind w:firstLine="402"/>
              <w:textAlignment w:val="center"/>
              <w:rPr>
                <w:rFonts w:ascii="宋体" w:hAnsi="宋体" w:cs="宋体"/>
                <w:color w:val="000000"/>
                <w:kern w:val="0"/>
                <w:sz w:val="20"/>
                <w:szCs w:val="20"/>
              </w:rPr>
            </w:pPr>
            <w:r>
              <w:rPr>
                <w:rFonts w:hint="eastAsia" w:ascii="宋体" w:hAnsi="宋体" w:cs="宋体"/>
                <w:b/>
                <w:bCs/>
                <w:color w:val="000000"/>
                <w:kern w:val="0"/>
                <w:sz w:val="20"/>
                <w:szCs w:val="20"/>
              </w:rPr>
              <w:t xml:space="preserve">问题2 </w:t>
            </w:r>
            <w:r>
              <w:rPr>
                <w:rFonts w:hint="eastAsia" w:ascii="宋体" w:hAnsi="宋体" w:cs="宋体"/>
                <w:color w:val="000000"/>
                <w:kern w:val="0"/>
                <w:sz w:val="20"/>
                <w:szCs w:val="20"/>
              </w:rPr>
              <w:t>关于“8月4号至8月5号优百特电器有限公司厂区大量排风扇导致厂区外绿化有粉尘，并伴异味，拨打经开区生态环境应急电话，至今未收到反馈，也未作处理。”。</w:t>
            </w:r>
          </w:p>
          <w:p>
            <w:pPr>
              <w:widowControl/>
              <w:spacing w:line="240" w:lineRule="exact"/>
              <w:ind w:firstLine="402"/>
              <w:textAlignment w:val="center"/>
              <w:rPr>
                <w:rFonts w:ascii="宋体" w:hAnsi="宋体" w:cs="宋体"/>
                <w:color w:val="000000"/>
                <w:kern w:val="0"/>
                <w:sz w:val="20"/>
                <w:szCs w:val="20"/>
              </w:rPr>
            </w:pPr>
            <w:r>
              <w:rPr>
                <w:rFonts w:hint="eastAsia" w:ascii="宋体" w:hAnsi="宋体" w:cs="宋体"/>
                <w:color w:val="000000"/>
                <w:kern w:val="0"/>
                <w:sz w:val="20"/>
                <w:szCs w:val="20"/>
              </w:rPr>
              <w:t>经查，经开区生态环境分局2021年8月未接到涉及优百特电器有限公司异味、粉尘相关内容举报电话。</w:t>
            </w:r>
          </w:p>
          <w:p>
            <w:pPr>
              <w:widowControl/>
              <w:spacing w:line="240" w:lineRule="exact"/>
              <w:ind w:firstLine="400" w:firstLineChars="200"/>
              <w:textAlignment w:val="center"/>
              <w:rPr>
                <w:rFonts w:ascii="宋体" w:hAnsi="宋体" w:cs="宋体"/>
                <w:color w:val="000000"/>
                <w:kern w:val="0"/>
                <w:sz w:val="20"/>
                <w:szCs w:val="20"/>
                <w:highlight w:val="none"/>
              </w:rPr>
            </w:pPr>
            <w:r>
              <w:rPr>
                <w:rFonts w:hint="eastAsia" w:ascii="宋体" w:hAnsi="宋体" w:cs="宋体"/>
                <w:color w:val="000000"/>
                <w:kern w:val="0"/>
                <w:sz w:val="20"/>
                <w:szCs w:val="20"/>
                <w:highlight w:val="none"/>
              </w:rPr>
              <w:t>经核查，该举报内容</w:t>
            </w:r>
            <w:r>
              <w:rPr>
                <w:rFonts w:hint="eastAsia" w:ascii="宋体" w:hAnsi="宋体" w:cs="宋体"/>
                <w:color w:val="000000"/>
                <w:kern w:val="0"/>
                <w:sz w:val="20"/>
                <w:szCs w:val="20"/>
                <w:highlight w:val="none"/>
                <w:lang w:eastAsia="zh-CN"/>
              </w:rPr>
              <w:t>部分</w:t>
            </w:r>
            <w:r>
              <w:rPr>
                <w:rFonts w:hint="eastAsia" w:ascii="宋体" w:hAnsi="宋体" w:cs="宋体"/>
                <w:color w:val="000000"/>
                <w:kern w:val="0"/>
                <w:sz w:val="20"/>
                <w:szCs w:val="20"/>
                <w:highlight w:val="none"/>
              </w:rPr>
              <w:t>属实。</w:t>
            </w:r>
          </w:p>
          <w:p>
            <w:pPr>
              <w:widowControl/>
              <w:spacing w:line="240" w:lineRule="exact"/>
              <w:ind w:firstLine="400" w:firstLineChars="200"/>
              <w:textAlignment w:val="center"/>
              <w:rPr>
                <w:rFonts w:ascii="宋体" w:hAnsi="宋体" w:cs="宋体"/>
                <w:color w:val="000000"/>
                <w:kern w:val="0"/>
                <w:sz w:val="20"/>
                <w:szCs w:val="20"/>
              </w:rPr>
            </w:pPr>
            <w:r>
              <w:rPr>
                <w:rFonts w:hint="eastAsia" w:ascii="宋体" w:hAnsi="宋体" w:cs="宋体"/>
                <w:color w:val="000000"/>
                <w:kern w:val="0"/>
                <w:sz w:val="20"/>
                <w:szCs w:val="20"/>
              </w:rPr>
              <w:t>2021年9月3日，现场检查时，相关废气处理设施正在运行，喷砂工序未在生产，未闻到明显异味，厂区外绿化上存在白色粉尘，原因是北面厂房排风扇将少量车间</w:t>
            </w:r>
            <w:r>
              <w:rPr>
                <w:rFonts w:hint="eastAsia" w:ascii="宋体" w:hAnsi="宋体" w:cs="宋体"/>
                <w:color w:val="000000"/>
                <w:kern w:val="0"/>
                <w:sz w:val="20"/>
                <w:szCs w:val="20"/>
                <w:lang w:eastAsia="zh-CN"/>
              </w:rPr>
              <w:t>内</w:t>
            </w:r>
            <w:r>
              <w:rPr>
                <w:rFonts w:hint="eastAsia" w:ascii="宋体" w:hAnsi="宋体" w:cs="宋体"/>
                <w:color w:val="000000"/>
                <w:kern w:val="0"/>
                <w:sz w:val="20"/>
                <w:szCs w:val="20"/>
              </w:rPr>
              <w:t>白色粉末氧化镁间歇性排出。经开区生态环境分局对现场勘查并委托浙江首信检测有限公司检测人员对粉尘（颗粒物）进行执法监测，在该企业滚筒除尘设施废气排放口对正在排放的粉尘分时段进行采样，共采集废气样品4个；在该企业厂界四周分别采集无组织废气，共采集无组织废气样品4个。检测结果显示有组织排放和无组织排放废气均达到《大气污染物综合排放标准》（GB16297-1996）标准排放限限值。</w:t>
            </w:r>
          </w:p>
          <w:p>
            <w:pPr>
              <w:widowControl/>
              <w:spacing w:line="240" w:lineRule="exact"/>
              <w:ind w:firstLine="400" w:firstLineChars="200"/>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问题3关于“洪殷路万科悦声名苑边黑臭无名河距离石臼漾河仅200米，后者是嘉兴市重点饮用水水源保护区，5月2号向市长专线和嘉兴市生态环境应急电话反映，均未收到反馈”。</w:t>
            </w:r>
          </w:p>
          <w:p>
            <w:pPr>
              <w:widowControl/>
              <w:spacing w:line="240" w:lineRule="exact"/>
              <w:ind w:firstLine="400" w:firstLineChars="200"/>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经查，该件举报内容不属实。</w:t>
            </w:r>
          </w:p>
          <w:p>
            <w:pPr>
              <w:widowControl/>
              <w:spacing w:line="240" w:lineRule="exact"/>
              <w:ind w:firstLine="400" w:firstLineChars="200"/>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现场查看该河道（殷家桥港）水质清澈、无异味，经水质检测判定该河道非黑臭水体，综合为Ⅱ类水（氨氮0.39mg/L,总磷0.13mg/L，高锰酸盐指数5.30mg/L）；经测量殷家桥港悦声名苑段距离新塍塘（石臼漾河）400余米，且该河段不属于新塍塘饮用水水源保护区。</w:t>
            </w:r>
          </w:p>
          <w:p>
            <w:pPr>
              <w:widowControl/>
              <w:spacing w:line="240" w:lineRule="exact"/>
              <w:ind w:firstLine="400" w:firstLineChars="200"/>
              <w:textAlignment w:val="center"/>
              <w:rPr>
                <w:rFonts w:hint="eastAsia" w:ascii="宋体" w:hAnsi="宋体" w:cs="宋体"/>
                <w:color w:val="000000"/>
                <w:kern w:val="0"/>
                <w:sz w:val="20"/>
                <w:szCs w:val="20"/>
              </w:rPr>
            </w:pPr>
            <w:r>
              <w:rPr>
                <w:rFonts w:hint="eastAsia" w:ascii="宋体" w:hAnsi="宋体" w:cs="宋体"/>
                <w:color w:val="000000"/>
                <w:kern w:val="0"/>
                <w:sz w:val="20"/>
                <w:szCs w:val="20"/>
              </w:rPr>
              <w:t>经核查市长专线（编号JXDH20210165659，2021年5月2日）按信访流程进行处置回复。</w:t>
            </w:r>
          </w:p>
          <w:p>
            <w:pPr>
              <w:widowControl/>
              <w:textAlignment w:val="center"/>
              <w:rPr>
                <w:rFonts w:ascii="宋体" w:hAnsi="宋体" w:cs="宋体"/>
                <w:color w:val="000000"/>
                <w:kern w:val="0"/>
                <w:sz w:val="20"/>
                <w:szCs w:val="20"/>
              </w:rPr>
            </w:pPr>
          </w:p>
        </w:tc>
        <w:tc>
          <w:tcPr>
            <w:tcW w:w="825" w:type="dxa"/>
            <w:vAlign w:val="center"/>
          </w:tcPr>
          <w:p>
            <w:pPr>
              <w:widowControl/>
              <w:spacing w:line="240" w:lineRule="exact"/>
              <w:textAlignment w:val="center"/>
              <w:rPr>
                <w:rFonts w:ascii="宋体" w:hAnsi="宋体" w:cs="宋体"/>
                <w:color w:val="000000"/>
                <w:kern w:val="0"/>
                <w:sz w:val="20"/>
                <w:szCs w:val="20"/>
              </w:rPr>
            </w:pPr>
            <w:r>
              <w:rPr>
                <w:rFonts w:hint="eastAsia" w:ascii="宋体" w:hAnsi="宋体" w:cs="宋体"/>
                <w:color w:val="000000"/>
                <w:kern w:val="0"/>
                <w:sz w:val="20"/>
                <w:szCs w:val="20"/>
              </w:rPr>
              <w:t>问题1部分属实；问题2部分属实；问题3不属实</w:t>
            </w:r>
          </w:p>
        </w:tc>
        <w:tc>
          <w:tcPr>
            <w:tcW w:w="2540" w:type="dxa"/>
            <w:vAlign w:val="center"/>
          </w:tcPr>
          <w:p>
            <w:pPr>
              <w:widowControl/>
              <w:spacing w:line="240" w:lineRule="exact"/>
              <w:textAlignment w:val="center"/>
              <w:rPr>
                <w:rFonts w:ascii="宋体" w:hAnsi="宋体" w:cs="宋体"/>
                <w:color w:val="000000"/>
                <w:kern w:val="0"/>
                <w:sz w:val="20"/>
                <w:szCs w:val="20"/>
              </w:rPr>
            </w:pPr>
            <w:r>
              <w:rPr>
                <w:rFonts w:hint="eastAsia" w:ascii="宋体" w:hAnsi="宋体" w:cs="宋体"/>
                <w:b/>
                <w:bCs/>
                <w:color w:val="000000"/>
                <w:kern w:val="0"/>
                <w:sz w:val="20"/>
                <w:szCs w:val="20"/>
              </w:rPr>
              <w:t>问题1</w:t>
            </w:r>
            <w:r>
              <w:rPr>
                <w:rFonts w:hint="eastAsia" w:ascii="宋体" w:hAnsi="宋体" w:cs="宋体"/>
                <w:color w:val="000000"/>
                <w:kern w:val="0"/>
                <w:sz w:val="20"/>
                <w:szCs w:val="20"/>
              </w:rPr>
              <w:t>无。</w:t>
            </w:r>
          </w:p>
          <w:p>
            <w:pPr>
              <w:widowControl/>
              <w:spacing w:line="240" w:lineRule="exact"/>
              <w:textAlignment w:val="center"/>
              <w:rPr>
                <w:rFonts w:ascii="宋体" w:hAnsi="宋体" w:cs="宋体"/>
                <w:color w:val="000000"/>
                <w:kern w:val="0"/>
                <w:sz w:val="20"/>
                <w:szCs w:val="20"/>
              </w:rPr>
            </w:pPr>
            <w:r>
              <w:rPr>
                <w:rFonts w:hint="eastAsia" w:ascii="宋体" w:hAnsi="宋体" w:cs="宋体"/>
                <w:b/>
                <w:bCs/>
                <w:color w:val="000000"/>
                <w:kern w:val="0"/>
                <w:sz w:val="20"/>
                <w:szCs w:val="20"/>
              </w:rPr>
              <w:t>问题2</w:t>
            </w:r>
            <w:r>
              <w:rPr>
                <w:rFonts w:hint="eastAsia" w:ascii="宋体" w:hAnsi="宋体" w:cs="宋体"/>
                <w:color w:val="000000"/>
                <w:kern w:val="0"/>
                <w:sz w:val="20"/>
                <w:szCs w:val="20"/>
              </w:rPr>
              <w:t>经开区生态环境分局和城南街道督促浙江优百特电器有限公司做好扬尘防治环境整治工作。一是落实专人保洁，及时清扫落地粉尘</w:t>
            </w:r>
            <w:r>
              <w:rPr>
                <w:rFonts w:ascii="宋体" w:hAnsi="宋体" w:cs="宋体"/>
                <w:color w:val="000000"/>
                <w:kern w:val="0"/>
                <w:sz w:val="20"/>
                <w:szCs w:val="20"/>
              </w:rPr>
              <w:t>,</w:t>
            </w:r>
            <w:r>
              <w:rPr>
                <w:rFonts w:hint="eastAsia" w:ascii="宋体" w:hAnsi="宋体" w:cs="宋体"/>
                <w:color w:val="000000"/>
                <w:kern w:val="0"/>
                <w:sz w:val="20"/>
                <w:szCs w:val="20"/>
              </w:rPr>
              <w:t>采取洒水降尘措施，建立长效保洁制度；二是企业出具可行性整改报告</w:t>
            </w:r>
            <w:r>
              <w:rPr>
                <w:rFonts w:ascii="宋体" w:hAnsi="宋体" w:cs="宋体"/>
                <w:color w:val="000000"/>
                <w:kern w:val="0"/>
                <w:sz w:val="20"/>
                <w:szCs w:val="20"/>
              </w:rPr>
              <w:t>,</w:t>
            </w:r>
            <w:r>
              <w:rPr>
                <w:rFonts w:hint="eastAsia" w:ascii="宋体" w:hAnsi="宋体" w:cs="宋体"/>
                <w:color w:val="000000"/>
                <w:kern w:val="0"/>
                <w:sz w:val="20"/>
                <w:szCs w:val="20"/>
              </w:rPr>
              <w:t>优化现有集尘设施，提高粉尘收集率。三是加强监管，督促企业落实整改报告，并开展执法监测。</w:t>
            </w:r>
          </w:p>
          <w:p>
            <w:pPr>
              <w:widowControl/>
              <w:spacing w:line="240" w:lineRule="exact"/>
              <w:textAlignment w:val="center"/>
              <w:rPr>
                <w:rFonts w:ascii="宋体" w:hAnsi="宋体" w:cs="宋体"/>
                <w:color w:val="000000"/>
                <w:kern w:val="0"/>
                <w:sz w:val="20"/>
                <w:szCs w:val="20"/>
              </w:rPr>
            </w:pPr>
            <w:r>
              <w:rPr>
                <w:rFonts w:hint="eastAsia" w:ascii="宋体" w:hAnsi="宋体" w:cs="宋体"/>
                <w:b/>
                <w:bCs/>
                <w:color w:val="000000"/>
                <w:kern w:val="0"/>
                <w:sz w:val="20"/>
                <w:szCs w:val="20"/>
              </w:rPr>
              <w:t>问题3</w:t>
            </w:r>
            <w:r>
              <w:rPr>
                <w:rFonts w:hint="eastAsia" w:ascii="宋体" w:hAnsi="宋体" w:cs="宋体"/>
                <w:color w:val="000000"/>
                <w:kern w:val="0"/>
                <w:sz w:val="20"/>
                <w:szCs w:val="20"/>
              </w:rPr>
              <w:t>无。</w:t>
            </w:r>
          </w:p>
        </w:tc>
        <w:tc>
          <w:tcPr>
            <w:tcW w:w="732" w:type="dxa"/>
            <w:vAlign w:val="center"/>
          </w:tcPr>
          <w:p>
            <w:pPr>
              <w:spacing w:line="400" w:lineRule="exact"/>
              <w:jc w:val="center"/>
              <w:rPr>
                <w:rFonts w:ascii="Times New Roman" w:hAnsi="Times New Roman"/>
                <w:szCs w:val="21"/>
              </w:rPr>
            </w:pPr>
            <w:r>
              <w:rPr>
                <w:rFonts w:hint="eastAsia" w:ascii="Times New Roman" w:hAnsi="Times New Roman"/>
                <w:szCs w:val="21"/>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517" w:type="dxa"/>
            <w:noWrap w:val="0"/>
            <w:vAlign w:val="center"/>
          </w:tcPr>
          <w:p>
            <w:pPr>
              <w:spacing w:line="40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lang w:val="en-US" w:eastAsia="zh-CN"/>
              </w:rPr>
              <w:t>2</w:t>
            </w:r>
          </w:p>
        </w:tc>
        <w:tc>
          <w:tcPr>
            <w:tcW w:w="9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color w:val="000000"/>
                <w:kern w:val="0"/>
                <w:sz w:val="20"/>
                <w:szCs w:val="20"/>
                <w:u w:val="none"/>
                <w:lang w:val="en-US" w:eastAsia="zh-CN" w:bidi="ar"/>
              </w:rPr>
              <w:t>D202109020017</w:t>
            </w:r>
          </w:p>
        </w:tc>
        <w:tc>
          <w:tcPr>
            <w:tcW w:w="83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嘉兴市</w:t>
            </w:r>
          </w:p>
        </w:tc>
        <w:tc>
          <w:tcPr>
            <w:tcW w:w="1184" w:type="dxa"/>
            <w:noWrap w:val="0"/>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海宁市</w:t>
            </w:r>
          </w:p>
        </w:tc>
        <w:tc>
          <w:tcPr>
            <w:tcW w:w="1923" w:type="dxa"/>
            <w:noWrap w:val="0"/>
            <w:vAlign w:val="center"/>
          </w:tcPr>
          <w:p>
            <w:pPr>
              <w:keepNext w:val="0"/>
              <w:keepLines w:val="0"/>
              <w:widowControl/>
              <w:suppressLineNumbers w:val="0"/>
              <w:jc w:val="both"/>
              <w:textAlignment w:val="center"/>
              <w:rPr>
                <w:rFonts w:hint="default" w:ascii="Times New Roman" w:hAnsi="Times New Roman" w:eastAsia="宋体" w:cs="Times New Roman"/>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嘉绍高速嘉兴方向K154+300米处应家庄长啸村，受高速噪声影响。曾向浙里办投诉。</w:t>
            </w:r>
          </w:p>
        </w:tc>
        <w:tc>
          <w:tcPr>
            <w:tcW w:w="99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噪声</w:t>
            </w:r>
          </w:p>
        </w:tc>
        <w:tc>
          <w:tcPr>
            <w:tcW w:w="3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（一）关于“应家庄长啸村，受高速噪声影响”。</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经核查，该举报内容属实。G1522常台高速东侧嘉兴方向K154+300处临近袁花镇长啸村殷家浜居民组，距离高速公路最近的房屋为殷家浜7号农户，直线距离约15M。该处未安装隔音屏，同时嘉兴方向K154+470处下穿通道上方调整路面有横向裂缝，大型车辆经过震动噪音大。海宁市袁花镇人民政府委托</w:t>
            </w:r>
            <w:r>
              <w:rPr>
                <w:rFonts w:hint="eastAsia" w:ascii="宋体" w:hAnsi="宋体" w:cs="宋体"/>
                <w:i w:val="0"/>
                <w:color w:val="000000"/>
                <w:kern w:val="0"/>
                <w:sz w:val="20"/>
                <w:szCs w:val="20"/>
                <w:u w:val="none"/>
                <w:lang w:val="en-US" w:eastAsia="zh-CN" w:bidi="ar"/>
              </w:rPr>
              <w:t>第三方</w:t>
            </w:r>
            <w:r>
              <w:rPr>
                <w:rFonts w:hint="eastAsia" w:ascii="宋体" w:hAnsi="宋体" w:eastAsia="宋体" w:cs="宋体"/>
                <w:i w:val="0"/>
                <w:color w:val="000000"/>
                <w:kern w:val="0"/>
                <w:sz w:val="20"/>
                <w:szCs w:val="20"/>
                <w:u w:val="none"/>
                <w:lang w:val="en-US" w:eastAsia="zh-CN" w:bidi="ar"/>
              </w:rPr>
              <w:t>对G1522常台高速东侧嘉兴方向K154+300处和殷家浜7号农居点开展昼间、夜间噪声监测。检测结果显示夜间噪声超标。</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（二）关于“曾向浙里办投诉”。</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经核查，该举报内容属实。当事人</w:t>
            </w:r>
            <w:r>
              <w:rPr>
                <w:rFonts w:hint="eastAsia" w:ascii="宋体" w:hAnsi="宋体" w:cs="宋体"/>
                <w:i w:val="0"/>
                <w:color w:val="000000"/>
                <w:kern w:val="0"/>
                <w:sz w:val="20"/>
                <w:szCs w:val="20"/>
                <w:u w:val="none"/>
                <w:lang w:val="en-US" w:eastAsia="zh-CN" w:bidi="ar"/>
              </w:rPr>
              <w:t>分别于</w:t>
            </w:r>
            <w:r>
              <w:rPr>
                <w:rFonts w:hint="eastAsia" w:ascii="宋体" w:hAnsi="宋体" w:eastAsia="宋体" w:cs="宋体"/>
                <w:i w:val="0"/>
                <w:color w:val="000000"/>
                <w:kern w:val="0"/>
                <w:sz w:val="20"/>
                <w:szCs w:val="20"/>
                <w:u w:val="none"/>
                <w:lang w:val="en-US" w:eastAsia="zh-CN" w:bidi="ar"/>
              </w:rPr>
              <w:t>2020年8月10日</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2021年6月2日</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2021年8月8日三次</w:t>
            </w:r>
            <w:r>
              <w:rPr>
                <w:rFonts w:hint="eastAsia" w:ascii="宋体" w:hAnsi="宋体" w:cs="宋体"/>
                <w:i w:val="0"/>
                <w:color w:val="000000"/>
                <w:kern w:val="0"/>
                <w:sz w:val="20"/>
                <w:szCs w:val="20"/>
                <w:u w:val="none"/>
                <w:lang w:val="en-US" w:eastAsia="zh-CN" w:bidi="ar"/>
              </w:rPr>
              <w:t>向浙里办反映情况</w:t>
            </w:r>
            <w:r>
              <w:rPr>
                <w:rFonts w:hint="eastAsia" w:ascii="宋体" w:hAnsi="宋体" w:eastAsia="宋体" w:cs="宋体"/>
                <w:i w:val="0"/>
                <w:color w:val="000000"/>
                <w:kern w:val="0"/>
                <w:sz w:val="20"/>
                <w:szCs w:val="20"/>
                <w:u w:val="none"/>
                <w:lang w:val="en-US" w:eastAsia="zh-CN" w:bidi="ar"/>
              </w:rPr>
              <w:t>，</w:t>
            </w:r>
            <w:r>
              <w:rPr>
                <w:rFonts w:hint="eastAsia" w:ascii="宋体" w:hAnsi="宋体" w:cs="宋体"/>
                <w:i w:val="0"/>
                <w:color w:val="000000"/>
                <w:kern w:val="0"/>
                <w:sz w:val="20"/>
                <w:szCs w:val="20"/>
                <w:u w:val="none"/>
                <w:lang w:val="en-US" w:eastAsia="zh-CN" w:bidi="ar"/>
              </w:rPr>
              <w:t>嘉兴市交通运输局和嘉通公司均已及时答复</w:t>
            </w:r>
            <w:r>
              <w:rPr>
                <w:rFonts w:hint="eastAsia" w:ascii="宋体" w:hAnsi="宋体" w:eastAsia="宋体" w:cs="宋体"/>
                <w:i w:val="0"/>
                <w:color w:val="000000"/>
                <w:kern w:val="0"/>
                <w:sz w:val="20"/>
                <w:szCs w:val="20"/>
                <w:u w:val="none"/>
                <w:lang w:val="en-US" w:eastAsia="zh-CN" w:bidi="ar"/>
              </w:rPr>
              <w:t>。</w:t>
            </w:r>
          </w:p>
        </w:tc>
        <w:tc>
          <w:tcPr>
            <w:tcW w:w="825" w:type="dxa"/>
            <w:noWrap w:val="0"/>
            <w:vAlign w:val="center"/>
          </w:tcPr>
          <w:p>
            <w:pPr>
              <w:spacing w:line="40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lang w:val="en-US" w:eastAsia="zh-CN"/>
              </w:rPr>
              <w:t>属实</w:t>
            </w:r>
          </w:p>
        </w:tc>
        <w:tc>
          <w:tcPr>
            <w:tcW w:w="2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（一）高速运营管理单位在该路段增设禁鸣标志。　　（二）高速运营管理单位对袁花镇长啸村殷家浜居民组路段安装声屏障</w:t>
            </w:r>
            <w:r>
              <w:rPr>
                <w:rFonts w:hint="eastAsia" w:ascii="宋体" w:hAnsi="宋体" w:cs="宋体"/>
                <w:i w:val="0"/>
                <w:color w:val="000000"/>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（三）高速运营管理单位加大养护巡查频率，及时修复道路病害。</w:t>
            </w:r>
          </w:p>
        </w:tc>
        <w:tc>
          <w:tcPr>
            <w:tcW w:w="732" w:type="dxa"/>
            <w:noWrap w:val="0"/>
            <w:vAlign w:val="center"/>
          </w:tcPr>
          <w:p>
            <w:pPr>
              <w:spacing w:line="40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lang w:val="en-US"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0" w:hRule="atLeast"/>
          <w:jc w:val="center"/>
        </w:trPr>
        <w:tc>
          <w:tcPr>
            <w:tcW w:w="517" w:type="dxa"/>
            <w:noWrap w:val="0"/>
            <w:vAlign w:val="center"/>
          </w:tcPr>
          <w:p>
            <w:pPr>
              <w:spacing w:line="400" w:lineRule="exact"/>
              <w:jc w:val="center"/>
              <w:rPr>
                <w:rFonts w:hint="default" w:ascii="Times New Roman" w:hAnsi="Times New Roman" w:eastAsia="宋体" w:cs="Times New Roman"/>
                <w:kern w:val="2"/>
                <w:sz w:val="21"/>
                <w:szCs w:val="21"/>
                <w:lang w:val="en-US" w:eastAsia="zh-CN" w:bidi="ar-SA"/>
              </w:rPr>
            </w:pPr>
            <w:r>
              <w:rPr>
                <w:rFonts w:hint="eastAsia" w:ascii="Times New Roman" w:hAnsi="Times New Roman" w:cs="Times New Roman"/>
                <w:kern w:val="2"/>
                <w:sz w:val="21"/>
                <w:szCs w:val="21"/>
                <w:lang w:val="en-US" w:eastAsia="zh-CN" w:bidi="ar-SA"/>
              </w:rPr>
              <w:t>3</w:t>
            </w:r>
          </w:p>
        </w:tc>
        <w:tc>
          <w:tcPr>
            <w:tcW w:w="983" w:type="dxa"/>
            <w:noWrap w:val="0"/>
            <w:vAlign w:val="center"/>
          </w:tcPr>
          <w:p>
            <w:pPr>
              <w:keepNext w:val="0"/>
              <w:keepLines w:val="0"/>
              <w:widowControl/>
              <w:suppressLineNumbers w:val="0"/>
              <w:jc w:val="center"/>
              <w:textAlignment w:val="center"/>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i w:val="0"/>
                <w:color w:val="000000"/>
                <w:kern w:val="0"/>
                <w:sz w:val="20"/>
                <w:szCs w:val="20"/>
                <w:u w:val="none"/>
                <w:lang w:val="en-US" w:eastAsia="zh-CN" w:bidi="ar"/>
              </w:rPr>
              <w:t>D202109020020</w:t>
            </w:r>
          </w:p>
        </w:tc>
        <w:tc>
          <w:tcPr>
            <w:tcW w:w="83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嘉兴市</w:t>
            </w:r>
          </w:p>
        </w:tc>
        <w:tc>
          <w:tcPr>
            <w:tcW w:w="1184" w:type="dxa"/>
            <w:noWrap w:val="0"/>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海宁市</w:t>
            </w:r>
          </w:p>
        </w:tc>
        <w:tc>
          <w:tcPr>
            <w:tcW w:w="1923" w:type="dxa"/>
            <w:noWrap w:val="0"/>
            <w:vAlign w:val="center"/>
          </w:tcPr>
          <w:p>
            <w:pPr>
              <w:keepNext w:val="0"/>
              <w:keepLines w:val="0"/>
              <w:widowControl/>
              <w:suppressLineNumbers w:val="0"/>
              <w:jc w:val="both"/>
              <w:textAlignment w:val="center"/>
              <w:rPr>
                <w:rFonts w:hint="eastAsia" w:ascii="Times New Roman" w:hAnsi="Times New Roman" w:eastAsia="宋体" w:cs="Times New Roman"/>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许村镇杨渡村省农科院杨渡试验基地有臭气扰民。</w:t>
            </w:r>
          </w:p>
        </w:tc>
        <w:tc>
          <w:tcPr>
            <w:tcW w:w="993" w:type="dxa"/>
            <w:noWrap w:val="0"/>
            <w:vAlign w:val="center"/>
          </w:tcPr>
          <w:p>
            <w:pPr>
              <w:keepNext w:val="0"/>
              <w:keepLines w:val="0"/>
              <w:widowControl/>
              <w:suppressLineNumbers w:val="0"/>
              <w:jc w:val="center"/>
              <w:textAlignment w:val="center"/>
              <w:rPr>
                <w:rFonts w:hint="eastAsia" w:ascii="Times New Roman" w:hAnsi="Times New Roman" w:eastAsia="宋体" w:cs="Times New Roman"/>
                <w:kern w:val="2"/>
                <w:sz w:val="21"/>
                <w:szCs w:val="21"/>
                <w:lang w:val="en-US" w:eastAsia="zh-CN" w:bidi="ar-SA"/>
              </w:rPr>
            </w:pPr>
            <w:r>
              <w:rPr>
                <w:rFonts w:hint="eastAsia" w:ascii="宋体" w:hAnsi="宋体" w:eastAsia="宋体" w:cs="宋体"/>
                <w:i w:val="0"/>
                <w:color w:val="000000"/>
                <w:kern w:val="0"/>
                <w:sz w:val="20"/>
                <w:szCs w:val="20"/>
                <w:u w:val="none"/>
                <w:lang w:val="en-US" w:eastAsia="zh-CN" w:bidi="ar"/>
              </w:rPr>
              <w:t>大气</w:t>
            </w:r>
          </w:p>
        </w:tc>
        <w:tc>
          <w:tcPr>
            <w:tcW w:w="363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经查，该件举报内容基本属实。</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2021年9月5日，海宁市许村镇人民政府委托第三方对该试验基地有组织排放口及厂界臭气、环境空气臭气进行采样检测。检测结果显示，有组织排放口废气均达到《恶臭污染物排放标准》GB14554-93标准；厂界下风向3个臭气检测点检测结果最高值为29（无量纲），低于《畜禽养殖业污染物排放标准》（DB33/593-2005）表7规定的60的限值；新桥、杨渡景苑路口、中通道3个环境臭气检测点检测结果最高值为18（无量纲）。现场核查时，该试验基地正常运行，基地于2021年2月启动实施臭气治理项目，目前粪污处理区废气整治提升项目已完成建设，正在进行调试；猪舍废气收集处理设施正在建设中。</w:t>
            </w:r>
          </w:p>
        </w:tc>
        <w:tc>
          <w:tcPr>
            <w:tcW w:w="825" w:type="dxa"/>
            <w:noWrap w:val="0"/>
            <w:vAlign w:val="center"/>
          </w:tcPr>
          <w:p>
            <w:pPr>
              <w:spacing w:line="40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lang w:val="en-US" w:eastAsia="zh-CN"/>
              </w:rPr>
              <w:t>基本属实</w:t>
            </w:r>
          </w:p>
        </w:tc>
        <w:tc>
          <w:tcPr>
            <w:tcW w:w="254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（一）由许村镇人民政府督促试验基地加快试验基地臭气治理提升项目的建设。同时进一步明确各区环境卫生责任人，做好场内卫生清理工作。</w:t>
            </w:r>
          </w:p>
          <w:p>
            <w:pPr>
              <w:keepNext w:val="0"/>
              <w:keepLines w:val="0"/>
              <w:pageBreakBefore w:val="0"/>
              <w:widowControl/>
              <w:suppressLineNumbers w:val="0"/>
              <w:kinsoku/>
              <w:wordWrap/>
              <w:overflowPunct/>
              <w:topLinePunct w:val="0"/>
              <w:autoSpaceDE/>
              <w:autoSpaceDN/>
              <w:bidi w:val="0"/>
              <w:adjustRightInd/>
              <w:snapToGrid/>
              <w:spacing w:line="240" w:lineRule="exact"/>
              <w:jc w:val="both"/>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（二）要求试验基地废气处理设施完成建设投入运行后，</w:t>
            </w:r>
            <w:r>
              <w:rPr>
                <w:rFonts w:hint="default" w:ascii="宋体" w:hAnsi="宋体" w:cs="宋体"/>
                <w:i w:val="0"/>
                <w:color w:val="000000"/>
                <w:kern w:val="0"/>
                <w:sz w:val="20"/>
                <w:szCs w:val="20"/>
                <w:u w:val="none"/>
                <w:lang w:eastAsia="zh-CN" w:bidi="ar"/>
              </w:rPr>
              <w:t>开展</w:t>
            </w:r>
            <w:r>
              <w:rPr>
                <w:rFonts w:hint="eastAsia" w:ascii="宋体" w:hAnsi="宋体" w:eastAsia="宋体" w:cs="宋体"/>
                <w:i w:val="0"/>
                <w:color w:val="000000"/>
                <w:kern w:val="0"/>
                <w:sz w:val="20"/>
                <w:szCs w:val="20"/>
                <w:u w:val="none"/>
                <w:lang w:val="en-US" w:eastAsia="zh-CN" w:bidi="ar"/>
              </w:rPr>
              <w:t>环保“三同时”竣工验收。</w:t>
            </w:r>
          </w:p>
        </w:tc>
        <w:tc>
          <w:tcPr>
            <w:tcW w:w="732" w:type="dxa"/>
            <w:noWrap w:val="0"/>
            <w:vAlign w:val="center"/>
          </w:tcPr>
          <w:p>
            <w:pPr>
              <w:spacing w:line="400" w:lineRule="exact"/>
              <w:jc w:val="center"/>
              <w:rPr>
                <w:rFonts w:hint="eastAsia" w:ascii="Times New Roman" w:hAnsi="Times New Roman" w:eastAsia="宋体" w:cs="Times New Roman"/>
                <w:kern w:val="2"/>
                <w:sz w:val="21"/>
                <w:szCs w:val="21"/>
                <w:lang w:val="en-US" w:eastAsia="zh-CN" w:bidi="ar-SA"/>
              </w:rPr>
            </w:pPr>
            <w:r>
              <w:rPr>
                <w:rFonts w:hint="eastAsia" w:ascii="Times New Roman" w:hAnsi="Times New Roman"/>
                <w:szCs w:val="21"/>
                <w:lang w:val="en-US" w:eastAsia="zh-CN"/>
              </w:rPr>
              <w:t>无</w:t>
            </w:r>
          </w:p>
        </w:tc>
      </w:tr>
    </w:tbl>
    <w:p>
      <w:pPr>
        <w:spacing w:line="320" w:lineRule="exact"/>
        <w:ind w:firstLine="560" w:firstLineChars="200"/>
      </w:pPr>
      <w:r>
        <w:rPr>
          <w:rFonts w:ascii="Times New Roman" w:hAnsi="Times New Roman" w:eastAsia="仿宋"/>
          <w:sz w:val="28"/>
          <w:szCs w:val="22"/>
        </w:rPr>
        <w:t>污染类型：水、大气、土壤、重金属、垃圾、噪声、油烟、扬尘、其它。</w:t>
      </w:r>
    </w:p>
    <w:sectPr>
      <w:footerReference r:id="rId3" w:type="default"/>
      <w:pgSz w:w="16838" w:h="11906" w:orient="landscape"/>
      <w:pgMar w:top="1803" w:right="1440" w:bottom="1803" w:left="1440" w:header="851" w:footer="992" w:gutter="0"/>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Arial Unicode MS"/>
    <w:panose1 w:val="02010609060101010101"/>
    <w:charset w:val="86"/>
    <w:family w:val="modern"/>
    <w:pitch w:val="default"/>
    <w:sig w:usb0="00000000" w:usb1="00000000"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-146050</wp:posOffset>
              </wp:positionV>
              <wp:extent cx="647065" cy="277495"/>
              <wp:effectExtent l="0" t="0" r="0" b="0"/>
              <wp:wrapNone/>
              <wp:docPr id="2" name="文本框 2"/>
              <wp:cNvGraphicFramePr/>
              <a:graphic xmlns:a="http://schemas.openxmlformats.org/drawingml/2006/main">
                <a:graphicData uri="http://schemas.microsoft.com/office/word/2010/wordprocessingShape">
                  <wps:wsp>
                    <wps:cNvSpPr txBox="1"/>
                    <wps:spPr>
                      <a:xfrm>
                        <a:off x="0" y="0"/>
                        <a:ext cx="647065" cy="277495"/>
                      </a:xfrm>
                      <a:prstGeom prst="rect">
                        <a:avLst/>
                      </a:prstGeom>
                      <a:noFill/>
                      <a:ln>
                        <a:noFill/>
                      </a:ln>
                      <a:effectLst/>
                    </wps:spPr>
                    <wps:txbx>
                      <w:txbxContent>
                        <w:p>
                          <w:pPr>
                            <w:pStyle w:val="3"/>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w:t>
                          </w:r>
                        </w:p>
                      </w:txbxContent>
                    </wps:txbx>
                    <wps:bodyPr lIns="0" tIns="0" rIns="0" bIns="0" upright="0"/>
                  </wps:wsp>
                </a:graphicData>
              </a:graphic>
            </wp:anchor>
          </w:drawing>
        </mc:Choice>
        <mc:Fallback>
          <w:pict>
            <v:shape id="_x0000_s1026" o:spid="_x0000_s1026" o:spt="202" type="#_x0000_t202" style="position:absolute;left:0pt;margin-top:-11.5pt;height:21.85pt;width:50.95pt;mso-position-horizontal:outside;mso-position-horizontal-relative:margin;z-index:251659264;mso-width-relative:page;mso-height-relative:page;" filled="f" stroked="f" coordsize="21600,21600" o:gfxdata="UEsDBAoAAAAAAIdO4kAAAAAAAAAAAAAAAAAEAAAAZHJzL1BLAwQUAAAACACHTuJA8QMsf9YAAAAH&#10;AQAADwAAAGRycy9kb3ducmV2LnhtbE2PzU7DMBCE70i8g7VI3Fo7QSo0ZFMhBCckRBoOHJ14m1iN&#10;1yF2f3h73BPcdjSjmW/LzdmN4khzsJ4RsqUCQdx5Y7lH+GxeFw8gQtRs9OiZEH4owKa6vip1YfyJ&#10;azpuYy9SCYdCIwwxToWUoRvI6bD0E3Hydn52OiY599LM+pTK3ShzpVbSactpYdATPQ/U7bcHh/D0&#10;xfWL/X5vP+pdbZtmrfhttUe8vcnUI4hI5/gXhgt+QocqMbX+wCaIESE9EhEW+V06LrbK1iBahFzd&#10;g6xK+Z+/+gVQSwMEFAAAAAgAh07iQGLU5b2kAQAAMQMAAA4AAABkcnMvZTJvRG9jLnhtbK1SS27b&#10;MBDdF8gdCO5jKUJit4LlAEWQokDRBEh6AJoiLQIkhyAZS75Ac4Oussk+5/I5MqQt57cLuhkOZ4aP&#10;897M/HwwmqyFDwpsQ08mJSXCcmiVXTX0z+3l8VdKQmS2ZRqsaOhGBHq+OPoy710tKuhAt8ITBLGh&#10;7l1DuxhdXRSBd8KwMAEnLCYleMMiXv2qaD3rEd3ooirLadGDb50HLkLA6MUuSRcZX0rB45WUQUSi&#10;G4q9xWx9tstki8Wc1SvPXKf4vg32iS4MUxY/PUBdsMjInVcfoIziHgLIOOFgCpBScZE5IJuT8h2b&#10;m445kbmgOMEdZAr/D5b/Xl97otqGVpRYZnBE23/324en7eNfUiV5ehdqrLpxWBeH7zDgmMd4wGBi&#10;PUhv0ol8COZR6M1BXDFEwjE4PZ2V0zNKOKaq2ez021lCKV4eOx/iDwGGJKehHmeXJWXrXyHuSseS&#10;9JeFS6V1np+2bwKIuYuIvAD714nHrt/kxWE57Mktod0gN/3Toq5pR0bHj85ydO6cV6suL1FqKAHh&#10;XDKL/Q6lwb++56qXTV88A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BMEAABbQ29udGVudF9UeXBlc10ueG1sUEsBAhQACgAAAAAAh07iQAAAAAAA&#10;AAAAAAAAAAYAAAAAAAAAAAAQAAAA9QIAAF9yZWxzL1BLAQIUABQAAAAIAIdO4kCKFGY80QAAAJQB&#10;AAALAAAAAAAAAAEAIAAAABkDAABfcmVscy8ucmVsc1BLAQIUAAoAAAAAAIdO4kAAAAAAAAAAAAAA&#10;AAAEAAAAAAAAAAAAEAAAAAAAAABkcnMvUEsBAhQAFAAAAAgAh07iQPEDLH/WAAAABwEAAA8AAAAA&#10;AAAAAQAgAAAAIgAAAGRycy9kb3ducmV2LnhtbFBLAQIUABQAAAAIAIdO4kBi1OW9pAEAADEDAAAO&#10;AAAAAAAAAAEAIAAAACUBAABkcnMvZTJvRG9jLnhtbFBLBQYAAAAABgAGAFkBAAA7BQAAAAA=&#10;">
              <v:fill on="f" focussize="0,0"/>
              <v:stroke on="f"/>
              <v:imagedata o:title=""/>
              <o:lock v:ext="edit" aspectratio="f"/>
              <v:textbox inset="0mm,0mm,0mm,0mm">
                <w:txbxContent>
                  <w:p>
                    <w:pPr>
                      <w:pStyle w:val="3"/>
                      <w:rPr>
                        <w:sz w:val="28"/>
                        <w:szCs w:val="28"/>
                      </w:rPr>
                    </w:pPr>
                    <w:r>
                      <w:rPr>
                        <w:rFonts w:hint="eastAsia"/>
                        <w:sz w:val="28"/>
                        <w:szCs w:val="28"/>
                      </w:rPr>
                      <w:t>—</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2</w:t>
                    </w:r>
                    <w:r>
                      <w:rPr>
                        <w:rFonts w:hint="eastAsia"/>
                        <w:sz w:val="28"/>
                        <w:szCs w:val="28"/>
                      </w:rPr>
                      <w:fldChar w:fldCharType="end"/>
                    </w:r>
                    <w:r>
                      <w:rPr>
                        <w:rFonts w:hint="eastAsia"/>
                        <w:sz w:val="28"/>
                        <w:szCs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C52DE4"/>
    <w:rsid w:val="1BC71C88"/>
    <w:rsid w:val="1F315238"/>
    <w:rsid w:val="29CE29BD"/>
    <w:rsid w:val="3325087A"/>
    <w:rsid w:val="33CC56E5"/>
    <w:rsid w:val="376E7D89"/>
    <w:rsid w:val="3E717B7F"/>
    <w:rsid w:val="3EF562D0"/>
    <w:rsid w:val="46676A08"/>
    <w:rsid w:val="68AB7EAE"/>
    <w:rsid w:val="A86ED40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qFormat="1" w:uiPriority="99"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table of figures"/>
    <w:basedOn w:val="1"/>
    <w:next w:val="1"/>
    <w:unhideWhenUsed/>
    <w:qFormat/>
    <w:uiPriority w:val="99"/>
    <w:pPr>
      <w:ind w:left="200" w:leftChars="200" w:hanging="200" w:hangingChars="200"/>
    </w:pPr>
  </w:style>
  <w:style w:type="paragraph" w:styleId="3">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2021-09-09T10:30:00Z</dcterms:created>
  <dc:creator>pro</dc:creator>
  <cp:lastModifiedBy>Administrator</cp:lastModifiedBy>
  <cp:lastPrinted>2021-09-10T01:01:00Z</cp:lastPrinted>
  <dcterms:modified xsi:type="dcterms:W3CDTF">2021-09-13T08:46:27Z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y fmtid="{D5CDD505-2E9C-101B-9397-08002B2CF9AE}" pid="3" name="ICV">
    <vt:lpwstr>539E1E0DF4274A0485EB6F5ECD804B9A</vt:lpwstr>
  </property>
  <property fmtid="{D5CDD505-2E9C-101B-9397-08002B2CF9AE}" pid="4" name="woTemplateTypoMode" linkTarget="0">
    <vt:lpwstr>web</vt:lpwstr>
  </property>
  <property fmtid="{D5CDD505-2E9C-101B-9397-08002B2CF9AE}" pid="5" name="woTemplate" linkTarget="0">
    <vt:i4>1</vt:i4>
  </property>
</Properties>
</file>