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00" w:lineRule="exact"/>
        <w:ind w:firstLine="0"/>
        <w:jc w:val="center"/>
        <w:rPr>
          <w:rFonts w:ascii="方正小标宋简体" w:hAnsi="方正小标宋简体" w:eastAsia="方正小标宋简体" w:cs="方正小标宋简体"/>
          <w:color w:val="auto"/>
          <w:kern w:val="2"/>
          <w:sz w:val="44"/>
          <w:szCs w:val="44"/>
          <w:lang w:val="en-US" w:eastAsia="zh-CN" w:bidi="ar-SA"/>
        </w:rPr>
      </w:pPr>
    </w:p>
    <w:p>
      <w:pPr>
        <w:pStyle w:val="12"/>
        <w:spacing w:line="600" w:lineRule="exact"/>
        <w:ind w:firstLine="0"/>
        <w:jc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嘉兴市城市更新管理办法</w:t>
      </w:r>
    </w:p>
    <w:p>
      <w:pPr>
        <w:pStyle w:val="12"/>
        <w:spacing w:line="600" w:lineRule="exact"/>
        <w:ind w:firstLine="0"/>
        <w:jc w:val="center"/>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lang w:eastAsia="zh-CN"/>
        </w:rPr>
        <w:t>（征求意见稿）</w:t>
      </w:r>
    </w:p>
    <w:p>
      <w:pPr>
        <w:pStyle w:val="12"/>
        <w:spacing w:line="600" w:lineRule="exact"/>
        <w:ind w:firstLine="0"/>
        <w:jc w:val="center"/>
        <w:rPr>
          <w:rFonts w:ascii="仿宋" w:hAnsi="仿宋" w:cs="仿宋"/>
          <w:b/>
          <w:bCs/>
          <w:color w:val="auto"/>
          <w:szCs w:val="32"/>
          <w:lang w:eastAsia="zh-CN"/>
        </w:rPr>
      </w:pPr>
    </w:p>
    <w:p>
      <w:pPr>
        <w:pStyle w:val="12"/>
        <w:snapToGrid w:val="0"/>
        <w:spacing w:line="580" w:lineRule="exact"/>
        <w:ind w:firstLine="640" w:firstLineChars="20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为规范城市更新活动，完善城市功能，提升城市品质，改善人居环境，创新城市发展模</w:t>
      </w:r>
      <w:bookmarkStart w:id="1" w:name="_GoBack"/>
      <w:bookmarkEnd w:id="1"/>
      <w:r>
        <w:rPr>
          <w:rFonts w:hint="eastAsia" w:ascii="仿宋_GB2312" w:hAnsi="仿宋_GB2312" w:eastAsia="仿宋_GB2312" w:cs="仿宋_GB2312"/>
          <w:color w:val="auto"/>
          <w:szCs w:val="32"/>
        </w:rPr>
        <w:t>式，增强城市发展动力，聚力打造国际化品质江南水乡文化名城，现结合本市实际，制定本办法。</w:t>
      </w:r>
    </w:p>
    <w:p>
      <w:pPr>
        <w:pStyle w:val="12"/>
        <w:numPr>
          <w:ilvl w:val="0"/>
          <w:numId w:val="1"/>
        </w:numPr>
        <w:snapToGrid w:val="0"/>
        <w:spacing w:line="580" w:lineRule="exact"/>
        <w:ind w:firstLine="640" w:firstLineChars="200"/>
        <w:rPr>
          <w:rFonts w:ascii="黑体" w:hAnsi="黑体" w:eastAsia="黑体" w:cs="黑体"/>
          <w:color w:val="auto"/>
          <w:szCs w:val="32"/>
          <w:lang w:eastAsia="zh-CN"/>
        </w:rPr>
      </w:pPr>
      <w:r>
        <w:rPr>
          <w:rFonts w:hint="eastAsia" w:ascii="黑体" w:hAnsi="黑体" w:eastAsia="黑体" w:cs="黑体"/>
          <w:color w:val="auto"/>
          <w:szCs w:val="32"/>
          <w:lang w:eastAsia="zh-CN"/>
        </w:rPr>
        <w:t>适用范围</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本市</w:t>
      </w:r>
      <w:r>
        <w:rPr>
          <w:rFonts w:hint="eastAsia" w:ascii="仿宋_GB2312" w:hAnsi="仿宋_GB2312" w:eastAsia="仿宋_GB2312" w:cs="仿宋_GB2312"/>
          <w:color w:val="auto"/>
          <w:szCs w:val="32"/>
        </w:rPr>
        <w:t>市区范围（南湖区、秀洲区行政区域）内城市更新适用本办法。</w:t>
      </w:r>
    </w:p>
    <w:p>
      <w:pPr>
        <w:pStyle w:val="12"/>
        <w:snapToGrid w:val="0"/>
        <w:spacing w:line="580" w:lineRule="exact"/>
        <w:ind w:firstLine="640" w:firstLineChars="20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本办法所称城市更新，是指对城市建成区范围内城市空间形态和功能进行持续改善</w:t>
      </w:r>
      <w:r>
        <w:rPr>
          <w:rFonts w:hint="eastAsia" w:ascii="仿宋_GB2312" w:hAnsi="仿宋_GB2312" w:eastAsia="仿宋_GB2312" w:cs="仿宋_GB2312"/>
          <w:color w:val="auto"/>
          <w:szCs w:val="32"/>
          <w:lang w:eastAsia="zh-CN"/>
        </w:rPr>
        <w:t>的活动。</w:t>
      </w:r>
    </w:p>
    <w:p>
      <w:pPr>
        <w:pStyle w:val="12"/>
        <w:numPr>
          <w:ilvl w:val="0"/>
          <w:numId w:val="1"/>
        </w:numPr>
        <w:snapToGrid w:val="0"/>
        <w:spacing w:line="580" w:lineRule="exact"/>
        <w:ind w:firstLine="640" w:firstLineChars="200"/>
        <w:rPr>
          <w:rFonts w:ascii="黑体" w:hAnsi="黑体" w:eastAsia="黑体" w:cs="黑体"/>
          <w:color w:val="auto"/>
          <w:szCs w:val="32"/>
          <w:lang w:eastAsia="zh-CN"/>
        </w:rPr>
      </w:pPr>
      <w:r>
        <w:rPr>
          <w:rFonts w:hint="eastAsia" w:ascii="黑体" w:hAnsi="黑体" w:eastAsia="黑体" w:cs="黑体"/>
          <w:color w:val="auto"/>
          <w:szCs w:val="32"/>
          <w:lang w:eastAsia="zh-CN"/>
        </w:rPr>
        <w:t>基本原则</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城市更新应当以人民为中心，坚持“留改拆”并举，遵循规划引领、文化传承，政府引导、</w:t>
      </w:r>
      <w:r>
        <w:rPr>
          <w:rFonts w:hint="eastAsia" w:ascii="仿宋_GB2312" w:hAnsi="仿宋_GB2312" w:eastAsia="仿宋_GB2312" w:cs="仿宋_GB2312"/>
          <w:color w:val="auto"/>
          <w:szCs w:val="32"/>
        </w:rPr>
        <w:t>市场运作</w:t>
      </w:r>
      <w:r>
        <w:rPr>
          <w:rFonts w:hint="eastAsia" w:ascii="仿宋_GB2312" w:hAnsi="仿宋_GB2312" w:eastAsia="仿宋_GB2312" w:cs="仿宋_GB2312"/>
          <w:color w:val="auto"/>
          <w:szCs w:val="32"/>
          <w:lang w:eastAsia="zh-CN"/>
        </w:rPr>
        <w:t>，绿色发展、统筹推进的原则。</w:t>
      </w:r>
    </w:p>
    <w:p>
      <w:pPr>
        <w:pStyle w:val="12"/>
        <w:numPr>
          <w:ilvl w:val="0"/>
          <w:numId w:val="1"/>
        </w:numPr>
        <w:snapToGrid w:val="0"/>
        <w:spacing w:line="580" w:lineRule="exact"/>
        <w:ind w:firstLine="640" w:firstLineChars="200"/>
        <w:rPr>
          <w:rFonts w:ascii="黑体" w:hAnsi="黑体" w:eastAsia="黑体" w:cs="黑体"/>
          <w:color w:val="auto"/>
          <w:szCs w:val="32"/>
          <w:lang w:eastAsia="zh-CN"/>
        </w:rPr>
      </w:pPr>
      <w:r>
        <w:rPr>
          <w:rFonts w:hint="eastAsia" w:ascii="黑体" w:hAnsi="黑体" w:eastAsia="黑体" w:cs="黑体"/>
          <w:color w:val="auto"/>
          <w:szCs w:val="32"/>
          <w:lang w:eastAsia="zh-CN"/>
        </w:rPr>
        <w:t>工作机制</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（一）协调机制</w:t>
      </w:r>
    </w:p>
    <w:p>
      <w:pPr>
        <w:pStyle w:val="12"/>
        <w:snapToGrid w:val="0"/>
        <w:spacing w:line="580" w:lineRule="exact"/>
        <w:ind w:firstLine="640" w:firstLineChars="20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市人民政府</w:t>
      </w:r>
      <w:r>
        <w:rPr>
          <w:rFonts w:hint="eastAsia" w:ascii="仿宋_GB2312" w:hAnsi="仿宋_GB2312" w:eastAsia="仿宋_GB2312" w:cs="仿宋_GB2312"/>
          <w:color w:val="auto"/>
          <w:szCs w:val="32"/>
          <w:lang w:eastAsia="zh-CN"/>
        </w:rPr>
        <w:t>加强对本市城市更新工作的领导，</w:t>
      </w:r>
      <w:r>
        <w:rPr>
          <w:rFonts w:hint="eastAsia" w:ascii="仿宋_GB2312" w:hAnsi="仿宋_GB2312" w:eastAsia="仿宋_GB2312" w:cs="仿宋_GB2312"/>
          <w:color w:val="auto"/>
          <w:szCs w:val="32"/>
        </w:rPr>
        <w:t>成立市城市更新工作领导小组</w:t>
      </w:r>
      <w:r>
        <w:rPr>
          <w:rFonts w:hint="eastAsia" w:ascii="仿宋_GB2312" w:hAnsi="仿宋_GB2312" w:eastAsia="仿宋_GB2312" w:cs="仿宋_GB2312"/>
          <w:color w:val="auto"/>
          <w:szCs w:val="32"/>
          <w:lang w:eastAsia="zh-CN"/>
        </w:rPr>
        <w:t>（以下简称“领导小组”）</w:t>
      </w:r>
      <w:r>
        <w:rPr>
          <w:rFonts w:hint="eastAsia" w:ascii="仿宋_GB2312" w:hAnsi="仿宋_GB2312" w:eastAsia="仿宋_GB2312" w:cs="仿宋_GB2312"/>
          <w:color w:val="auto"/>
          <w:szCs w:val="32"/>
        </w:rPr>
        <w:t>，负责统筹</w:t>
      </w:r>
      <w:r>
        <w:rPr>
          <w:rFonts w:hint="eastAsia" w:ascii="仿宋_GB2312" w:hAnsi="仿宋_GB2312" w:eastAsia="仿宋_GB2312" w:cs="仿宋_GB2312"/>
          <w:color w:val="auto"/>
          <w:szCs w:val="32"/>
          <w:lang w:eastAsia="zh-CN"/>
        </w:rPr>
        <w:t>、协调、推进</w:t>
      </w:r>
      <w:r>
        <w:rPr>
          <w:rFonts w:hint="eastAsia" w:ascii="仿宋_GB2312" w:hAnsi="仿宋_GB2312" w:eastAsia="仿宋_GB2312" w:cs="仿宋_GB2312"/>
          <w:color w:val="auto"/>
          <w:szCs w:val="32"/>
        </w:rPr>
        <w:t>本市城市更新工作，对涉及的重大事项进行决策。</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rPr>
        <w:t>领导小组办公室设在</w:t>
      </w:r>
      <w:r>
        <w:rPr>
          <w:rFonts w:hint="eastAsia" w:ascii="仿宋_GB2312" w:hAnsi="仿宋_GB2312" w:eastAsia="仿宋_GB2312" w:cs="仿宋_GB2312"/>
          <w:color w:val="auto"/>
          <w:szCs w:val="32"/>
          <w:lang w:eastAsia="zh-CN"/>
        </w:rPr>
        <w:t>市建设局</w:t>
      </w: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eastAsia="zh-CN"/>
        </w:rPr>
        <w:t>承担</w:t>
      </w:r>
      <w:r>
        <w:rPr>
          <w:rFonts w:hint="eastAsia" w:ascii="仿宋_GB2312" w:hAnsi="仿宋_GB2312" w:eastAsia="仿宋_GB2312" w:cs="仿宋_GB2312"/>
          <w:color w:val="auto"/>
          <w:szCs w:val="32"/>
        </w:rPr>
        <w:t>领导小组日常工作</w:t>
      </w:r>
      <w:r>
        <w:rPr>
          <w:rFonts w:hint="eastAsia" w:ascii="仿宋_GB2312" w:hAnsi="仿宋_GB2312" w:eastAsia="仿宋_GB2312" w:cs="仿宋_GB2312"/>
          <w:color w:val="auto"/>
          <w:szCs w:val="32"/>
          <w:lang w:eastAsia="zh-CN"/>
        </w:rPr>
        <w:t>。</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（二）主体责任</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南湖区、秀洲区人民政府、嘉兴经济技术开发区（国际商务区）管理委员会负责组织、协调和管理辖区范围内城市更新的具体工作。镇人民政府、街道办事处协助配合做好城市更新相关工作。</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按照有关规定确定城市更新项目实施主体。更新实施主体负责具体组织实施城市更新项目，推动达成区域更新意愿、整合市场资源、编制更新实施方案、统筹推进更新项目实施。</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（三）部门职责</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市住房城乡建设部门负责牵头组织编制城市更新专项规划，制定城市更新综合性政策和年度实施计划，依职权推进城乡风貌整治提升、老旧小区改造等城市更新相关工作。</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市发展改革部门负责做好城市更新与国民经济和社会发展政策之间的衔接工作，承担城市更新重大项目的综合管理，拟定城市更新相关金融支持和保障政策。</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市自然资源规划部门负责组织编制重点更新片区的城市设计，承担城市更新项目有关规划、土地管理等职责。</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市财政部门负责按城市更新计划安排城市更新资金，拟定城市更新资金管理政策。</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市国有资产管理部门负责指导推进城市更新平台公司组建，并对所监管企业经营管理及风险防控实施监督。</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其他相关主管部门按职责分工，协同推进城市更新工作。</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（四）专家委员会</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设立城市更新专家委员会，开展城市更新相关评审、论证等工作，提供咨询意见。</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（五）公众参与机制</w:t>
      </w:r>
    </w:p>
    <w:p>
      <w:pPr>
        <w:pStyle w:val="12"/>
        <w:snapToGrid w:val="0"/>
        <w:spacing w:line="580" w:lineRule="exact"/>
        <w:ind w:firstLine="640" w:firstLineChars="200"/>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健全城市更新公众参与机制，依法保障公众在城市更新活动中的知情权、参与权、表达权和监督权。城市更新规划、城市设计以及城市更新有关技术标准、政策措施等，应当及时向社会公布。</w:t>
      </w:r>
    </w:p>
    <w:p>
      <w:pPr>
        <w:pStyle w:val="12"/>
        <w:snapToGrid w:val="0"/>
        <w:spacing w:line="580" w:lineRule="exact"/>
        <w:ind w:firstLine="640" w:firstLineChars="200"/>
        <w:jc w:val="both"/>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（六）信息数字化</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探索建立统一的城市更新信息系统，充分运用数字化、智能化信息技术，构建城市更新规划、建设、管理、运行、体检的智能化支撑。</w:t>
      </w:r>
    </w:p>
    <w:p>
      <w:pPr>
        <w:pStyle w:val="12"/>
        <w:snapToGrid w:val="0"/>
        <w:spacing w:line="580" w:lineRule="exact"/>
        <w:ind w:firstLine="640" w:firstLineChars="200"/>
        <w:jc w:val="both"/>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（七）规划师制度</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深化完善城市总规划师制度，进一步强化城市更新中的规划引领作用。探索建立社区规划师制度，发挥社区规划师在城市更新活动中的技术咨询服务、公众沟通协调等作用，推动多方协商、共建共治。</w:t>
      </w:r>
    </w:p>
    <w:p>
      <w:pPr>
        <w:pStyle w:val="12"/>
        <w:snapToGrid w:val="0"/>
        <w:spacing w:line="580" w:lineRule="exact"/>
        <w:ind w:firstLine="640" w:firstLineChars="200"/>
        <w:jc w:val="both"/>
        <w:rPr>
          <w:rFonts w:ascii="仿宋" w:hAnsi="仿宋" w:cs="仿宋"/>
          <w:color w:val="auto"/>
          <w:szCs w:val="32"/>
          <w:lang w:eastAsia="zh-CN"/>
        </w:rPr>
      </w:pPr>
      <w:r>
        <w:rPr>
          <w:rFonts w:hint="eastAsia" w:ascii="黑体" w:hAnsi="黑体" w:eastAsia="黑体" w:cs="黑体"/>
          <w:color w:val="auto"/>
          <w:szCs w:val="32"/>
          <w:lang w:eastAsia="zh-CN"/>
        </w:rPr>
        <w:t>四、规划与计划</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（一）专项规划</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市住房城乡建设部门会同市自然资源规划部门组织编制本市城市更新专项规划。专项规划的内容应当包括：城市更新总体目标、重点任务、重点片区、更新方向、实施策略、实施时序等。</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（二）城市设计</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市自然资源规划部门组织编制重点更新片区城市设计。重点更新片区城市设计中</w:t>
      </w:r>
      <w:bookmarkStart w:id="0" w:name="_Hlk105492092"/>
      <w:r>
        <w:rPr>
          <w:rFonts w:hint="eastAsia" w:ascii="仿宋_GB2312" w:hAnsi="仿宋_GB2312" w:eastAsia="仿宋_GB2312" w:cs="仿宋_GB2312"/>
          <w:color w:val="auto"/>
          <w:szCs w:val="32"/>
          <w:lang w:val="en-US" w:eastAsia="zh-CN"/>
        </w:rPr>
        <w:t>应当对片区的目标定位、更新方式、土地利用、开发建设指标、公共配套设施、道路交通、历史保护、利益平衡等方面作出细化规定</w:t>
      </w:r>
      <w:bookmarkEnd w:id="0"/>
      <w:r>
        <w:rPr>
          <w:rFonts w:hint="eastAsia" w:ascii="仿宋_GB2312" w:hAnsi="仿宋_GB2312" w:eastAsia="仿宋_GB2312" w:cs="仿宋_GB2312"/>
          <w:color w:val="auto"/>
          <w:szCs w:val="32"/>
          <w:lang w:val="en-US" w:eastAsia="zh-CN"/>
        </w:rPr>
        <w:t>，其内容深度应达到详细城市设计的要求。</w:t>
      </w:r>
    </w:p>
    <w:p>
      <w:pPr>
        <w:pStyle w:val="12"/>
        <w:snapToGrid w:val="0"/>
        <w:spacing w:line="580" w:lineRule="exact"/>
        <w:ind w:firstLine="640" w:firstLineChars="200"/>
        <w:jc w:val="both"/>
        <w:rPr>
          <w:rFonts w:ascii="楷体" w:hAnsi="楷体" w:eastAsia="楷体" w:cs="楷体"/>
          <w:color w:val="auto"/>
          <w:szCs w:val="32"/>
          <w:lang w:val="en-US" w:eastAsia="zh-CN"/>
        </w:rPr>
      </w:pPr>
      <w:r>
        <w:rPr>
          <w:rFonts w:hint="eastAsia" w:ascii="楷体" w:hAnsi="楷体" w:eastAsia="楷体" w:cs="楷体"/>
          <w:color w:val="auto"/>
          <w:szCs w:val="32"/>
          <w:lang w:val="en-US" w:eastAsia="zh-CN"/>
        </w:rPr>
        <w:t>（三）详细规划</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市自然资源规划部门、镇人民政府根据重点更新片区城市设计，分别对城市、镇详细规划开展修编和修改工作。</w:t>
      </w:r>
    </w:p>
    <w:p>
      <w:pPr>
        <w:pStyle w:val="12"/>
        <w:snapToGrid w:val="0"/>
        <w:spacing w:line="580" w:lineRule="exact"/>
        <w:ind w:firstLine="640" w:firstLineChars="200"/>
        <w:jc w:val="both"/>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（四）实施计划</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市住房城乡建设部门会同市自然资源规划部门、财政部门、国有资产管理部门及区人民政府（管委会），根据城市更新专项规划和重点更新片区城市设计，编制城市更新年度实施计划。城市更新年度实施计划应当明确城市更新项目的区域范围、更新规模、更新内容、实施主体、时序安排等。城市更新年度实施计划应广泛征求各方意见，经区人民政府（管委会）审议通过后报市人民政府审定。</w:t>
      </w:r>
    </w:p>
    <w:p>
      <w:pPr>
        <w:pStyle w:val="12"/>
        <w:snapToGrid w:val="0"/>
        <w:spacing w:line="580" w:lineRule="exact"/>
        <w:ind w:firstLine="640" w:firstLineChars="200"/>
        <w:jc w:val="both"/>
        <w:rPr>
          <w:rFonts w:ascii="黑体" w:hAnsi="黑体" w:eastAsia="黑体" w:cs="黑体"/>
          <w:color w:val="auto"/>
          <w:szCs w:val="32"/>
          <w:lang w:eastAsia="zh-CN"/>
        </w:rPr>
      </w:pPr>
      <w:r>
        <w:rPr>
          <w:rFonts w:hint="eastAsia" w:ascii="黑体" w:hAnsi="黑体" w:eastAsia="黑体" w:cs="黑体"/>
          <w:color w:val="auto"/>
          <w:szCs w:val="32"/>
          <w:lang w:eastAsia="zh-CN"/>
        </w:rPr>
        <w:t>五、项目实施</w:t>
      </w:r>
    </w:p>
    <w:p>
      <w:pPr>
        <w:pStyle w:val="12"/>
        <w:snapToGrid w:val="0"/>
        <w:spacing w:line="580" w:lineRule="exact"/>
        <w:ind w:firstLine="640" w:firstLineChars="200"/>
        <w:jc w:val="both"/>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（一）实施方式</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城市更新项目可单独或综合采取下列方式实施：</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1.保护更新。在符合历史遗存保护要求的前提下对建筑进行维护修缮、环境整治，对建筑所在区域的配套设施和环境进行更新完善，实施功能优化、业态提升，但不改变建筑整体风貌。</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2.改造更新。维持建设格局现状基本不变，对建筑、环境、配套设施等进行包括微更新、微改造在内的综合整治和改造建设，可以有少量拆除重建建筑。</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3.综合更新。对部分或全部原有建筑进行拆除，按照城市规划重新开发建设。</w:t>
      </w:r>
    </w:p>
    <w:p>
      <w:pPr>
        <w:pStyle w:val="12"/>
        <w:snapToGrid w:val="0"/>
        <w:spacing w:line="580" w:lineRule="exact"/>
        <w:ind w:firstLine="640" w:firstLineChars="200"/>
        <w:jc w:val="both"/>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（二）确定实施主体</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城市更新项目实施主体由区人民政府（管委会）确定。重点片区或重大更新项目，可以由市人民政府指定更新实施主体。具备条件的更新项目，可以由物业权利人实施。</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市、区人民政府（管委会）根据区域情况和更新需要，可以赋予更新实施主体参与规划编制、配合土地供应、统筹整体利益等职能。</w:t>
      </w:r>
    </w:p>
    <w:p>
      <w:pPr>
        <w:pStyle w:val="12"/>
        <w:snapToGrid w:val="0"/>
        <w:spacing w:line="580" w:lineRule="exact"/>
        <w:ind w:firstLine="640" w:firstLineChars="200"/>
        <w:jc w:val="both"/>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（三）实施方案</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更新实施主体应当根据重点更新片区城市设计和详细规划，组织编制更新项目实施方案。更新项目实施方案应当包括更新方式、实现途径、设计方案、建设方案、资金统筹、运营方案等内容。</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更新实施主体应当将更新项目实施方案报区人民政府（管委会），区人民政府（管委会）组织相关区级行业主管部门进行审查。重点片区或重大更新项目实施方案通过区级审查后，还应当依照有关规定报市国土空间规划委员会审议。</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采取综合更新方式的城市更新项目，更新实施主体应当根据实施方案，组织开展产权归集、土地前期准备等工作，配合完成规划优化和更新项目土地供应。</w:t>
      </w:r>
    </w:p>
    <w:p>
      <w:pPr>
        <w:pStyle w:val="12"/>
        <w:snapToGrid w:val="0"/>
        <w:spacing w:line="580" w:lineRule="exact"/>
        <w:ind w:firstLine="640" w:firstLineChars="200"/>
        <w:jc w:val="both"/>
        <w:rPr>
          <w:rFonts w:ascii="黑体" w:hAnsi="黑体" w:eastAsia="黑体" w:cs="仿宋"/>
          <w:color w:val="auto"/>
          <w:szCs w:val="32"/>
          <w:lang w:val="en-US" w:eastAsia="zh-CN"/>
        </w:rPr>
      </w:pPr>
      <w:r>
        <w:rPr>
          <w:rFonts w:hint="eastAsia" w:ascii="黑体" w:hAnsi="黑体" w:eastAsia="黑体" w:cs="仿宋"/>
          <w:color w:val="auto"/>
          <w:szCs w:val="32"/>
          <w:lang w:val="en-US" w:eastAsia="zh-CN"/>
        </w:rPr>
        <w:t>六、资金筹措</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（一）资金筹措渠道</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多渠道筹集城市更新资金，具体包括：</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1.各级财政安排的城市更新资金；</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2.金融机构融资资金；</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3.参与城市更新的市场主体投入的资金；</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4.土地使用权人和房屋所有权人自筹资金；</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5.其他符合规定的资金。</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（二）财政支持</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市、区人民政府（管委会）应当加强对城市更新的财政投入，加大政府专项债券对城市更新的支持；鼓励积极利用国家政策性金融和市场金融对城市更新的支持政策筹集资金，探索信贷金融新产品。</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充分发挥财政资金的撬动作用，整合利用城镇老旧小区改造、保障性租赁住房、排水防涝等专项财政资金统筹用于城市更新。</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（三）市场参与</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鼓励成立市、区城市更新平台公司，探索设立城市更新专项基金，鼓励银行、国有企业、民营企业积极参与，广泛引入社会资本。</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引入市场力量，通过直接投资、间接投资、委托代建等多种方式参与城市更新；合理引导居民出资参与老旧小区更新改造。</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（四）工作经费</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市、区相关部门应当将城市更新工作经费纳入部门预算管理，同级财政部门按照规定统筹保障有关资金需求。</w:t>
      </w:r>
    </w:p>
    <w:p>
      <w:pPr>
        <w:pStyle w:val="12"/>
        <w:snapToGrid w:val="0"/>
        <w:spacing w:line="580" w:lineRule="exact"/>
        <w:ind w:firstLine="640" w:firstLineChars="200"/>
        <w:jc w:val="both"/>
        <w:rPr>
          <w:rFonts w:ascii="黑体" w:hAnsi="黑体" w:eastAsia="黑体" w:cs="黑体"/>
          <w:color w:val="auto"/>
          <w:szCs w:val="32"/>
          <w:lang w:val="en-US" w:eastAsia="zh-CN"/>
        </w:rPr>
      </w:pPr>
      <w:r>
        <w:rPr>
          <w:rFonts w:hint="eastAsia" w:ascii="黑体" w:hAnsi="黑体" w:eastAsia="黑体" w:cs="黑体"/>
          <w:color w:val="auto"/>
          <w:szCs w:val="32"/>
          <w:lang w:eastAsia="zh-CN"/>
        </w:rPr>
        <w:t>七、</w:t>
      </w:r>
      <w:r>
        <w:rPr>
          <w:rFonts w:hint="eastAsia" w:ascii="黑体" w:hAnsi="黑体" w:eastAsia="黑体" w:cs="黑体"/>
          <w:color w:val="auto"/>
          <w:szCs w:val="32"/>
          <w:lang w:val="en-US" w:eastAsia="zh-CN"/>
        </w:rPr>
        <w:t>政策支持</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市、区人民政府（管委会）及其相关部门应当完善城市更新政策措施，深化制度创新，加大资源统筹力度，支持和保障城市更新。</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（一）规划政策</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1.在保障公共利益、符合更新目标的前提下，鼓励依规划适度提高更新区域内用地容积率、建筑高度等指标，提高更新用地利用效率。</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2.相关部门应当按照环境改善和整体功能提升的原则，针对城市更新项目的建筑间距、退让、密度、绿地率、交通、市政配套等指标，制定适合的标准和规范。</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（二）土地政策</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1.城市更新项目涉及土地出让的，如采取招拍挂方式办理供地手续的，可采用带方案招拍挂。区人民政府组织相关部门编制《建设项目投资及履约监管协议书》，明确项目开发、建设、安置房配建、配套设施配建、运营管理以及违约责任等要求。土地成交后竞得人签订《国有建设用地使用权出让合同》，并与属地政府签订《建设项目投资及履约监管协议书》。</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2.城市更新项目具备划拨条件的，可以采取划拨方式供应土地。划拨土地使用权和地上建筑物产权符合法律规定条件的，经市、区人民政府批准，办理土地使用权出让手续并交付土地使用权出让金后，可以转让、出租、抵押。</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3.城市更新项目涉及零星工业企业的，鼓励原国有土地使用权人实施自主更新。已纳入城镇低效用地数据库的工业企业地块，可按照城镇低效用地再开发政策进行再开发利用。</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4.现有工业用地拆除重建或用而未尽部分改为创新型产业用地的，在符合产业准入的情况下，可由企业申请，依法办理土地使用条件变更等用地手续。</w:t>
      </w:r>
    </w:p>
    <w:p>
      <w:pPr>
        <w:pStyle w:val="12"/>
        <w:snapToGrid w:val="0"/>
        <w:spacing w:line="580" w:lineRule="exact"/>
        <w:ind w:firstLine="640" w:firstLineChars="200"/>
        <w:jc w:val="both"/>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（三）安置政策</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1.在城市更新过程中确需搬迁业主的，可以实施房屋协议搬迁。更新项目实施主体与需搬迁的业主协商一致后，应当签订搬迁补偿协议，明确房屋产权调换、货币补偿等方案。居民安置鼓励以就地、就近安置为主。</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2.城市更新涉及房屋协议搬迁，纳入更新年度实施计划且符合条件的，可享受税费减免政策，同时补偿标准、资产核销、产权注销、房改相关事项等参照征收政策执行。</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3.城市更新活动涉及居民安置的，可以按照规定统筹使用保障性房源。</w:t>
      </w:r>
    </w:p>
    <w:p>
      <w:pPr>
        <w:pStyle w:val="12"/>
        <w:snapToGrid w:val="0"/>
        <w:spacing w:line="580" w:lineRule="exact"/>
        <w:ind w:firstLine="640" w:firstLineChars="200"/>
        <w:jc w:val="both"/>
        <w:rPr>
          <w:rFonts w:hint="eastAsia" w:ascii="楷体_GB2312" w:hAnsi="楷体_GB2312" w:eastAsia="楷体_GB2312" w:cs="楷体_GB2312"/>
          <w:color w:val="auto"/>
          <w:szCs w:val="32"/>
          <w:lang w:val="en-US" w:eastAsia="zh-CN"/>
        </w:rPr>
      </w:pPr>
      <w:r>
        <w:rPr>
          <w:rFonts w:hint="eastAsia" w:ascii="楷体_GB2312" w:hAnsi="楷体_GB2312" w:eastAsia="楷体_GB2312" w:cs="楷体_GB2312"/>
          <w:color w:val="auto"/>
          <w:lang w:eastAsia="zh-CN"/>
        </w:rPr>
        <w:t>（四）调解政策</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城市更新涉及房屋协议搬迁，城市更新项目范围内签订国有土地上房屋搬迁补偿协议的房屋权利人数量占比达到百分之九十五后，更新实施主体与未签约房屋权利人经过充分协商仍协商不成的，由所在地街道（镇）通过协调会、听证会等方式组织调解，引导形成共识。</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经调解仍然达不成搬迁补偿协议，或被征收房屋所有权人不明确的，房屋产权街道（镇）可以安排周转用房用于临时安置未签约房屋权利人或被搬迁人，以推动城市更新实施。</w:t>
      </w:r>
    </w:p>
    <w:p>
      <w:pPr>
        <w:pStyle w:val="12"/>
        <w:snapToGrid w:val="0"/>
        <w:spacing w:line="580" w:lineRule="exact"/>
        <w:ind w:left="707" w:firstLine="0"/>
        <w:rPr>
          <w:rFonts w:ascii="黑体" w:hAnsi="黑体" w:eastAsia="黑体" w:cs="仿宋"/>
          <w:color w:val="auto"/>
          <w:szCs w:val="32"/>
          <w:lang w:val="en-US" w:eastAsia="zh-CN"/>
        </w:rPr>
      </w:pPr>
      <w:r>
        <w:rPr>
          <w:rFonts w:hint="eastAsia" w:ascii="黑体" w:hAnsi="黑体" w:eastAsia="黑体" w:cs="仿宋"/>
          <w:color w:val="auto"/>
          <w:szCs w:val="32"/>
          <w:lang w:val="en-US" w:eastAsia="zh-CN"/>
        </w:rPr>
        <w:t>八、其他</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1</w:t>
      </w:r>
      <w:r>
        <w:rPr>
          <w:rFonts w:hint="eastAsia" w:ascii="仿宋_GB2312" w:hAnsi="仿宋_GB2312" w:eastAsia="仿宋_GB2312" w:cs="仿宋_GB2312"/>
          <w:color w:val="auto"/>
          <w:szCs w:val="32"/>
          <w:lang w:val="en-US" w:eastAsia="zh-CN"/>
        </w:rPr>
        <w:t>.市级相关部门应当按照本办法要求制定涉及规划、土地、建设、不动产登记、财政等相关配套政策。</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2.各县（市）可参照本办法执行。</w:t>
      </w:r>
    </w:p>
    <w:p>
      <w:pPr>
        <w:pStyle w:val="12"/>
        <w:snapToGrid w:val="0"/>
        <w:spacing w:line="580" w:lineRule="exact"/>
        <w:ind w:firstLine="640" w:firstLineChars="200"/>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Cs w:val="32"/>
          <w:lang w:val="en-US" w:eastAsia="zh-CN"/>
        </w:rPr>
        <w:t>3.本办法自2022年 月 日起施行。</w:t>
      </w:r>
    </w:p>
    <w:sectPr>
      <w:footerReference r:id="rId5" w:type="default"/>
      <w:pgSz w:w="11900" w:h="16840"/>
      <w:pgMar w:top="1386" w:right="1727" w:bottom="1410" w:left="1745" w:header="958" w:footer="98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PMingLiU">
    <w:altName w:val="Noto Sans CJK SC"/>
    <w:panose1 w:val="02010601000101010101"/>
    <w:charset w:val="88"/>
    <w:family w:val="roman"/>
    <w:pitch w:val="default"/>
    <w:sig w:usb0="00000000" w:usb1="00000000" w:usb2="00000016" w:usb3="00000000" w:csb0="00100001"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2096627"/>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FD53F"/>
    <w:multiLevelType w:val="singleLevel"/>
    <w:tmpl w:val="88FFD5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noPunctuationKerning w:val="true"/>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ZmFmMzVmOGM2NjQ4OTMxNmVlMGY3MjhhM2Q5ODMifQ=="/>
  </w:docVars>
  <w:rsids>
    <w:rsidRoot w:val="009F6064"/>
    <w:rsid w:val="000010F2"/>
    <w:rsid w:val="0000438B"/>
    <w:rsid w:val="00007908"/>
    <w:rsid w:val="000108FE"/>
    <w:rsid w:val="000434F3"/>
    <w:rsid w:val="0004486D"/>
    <w:rsid w:val="00070572"/>
    <w:rsid w:val="00074386"/>
    <w:rsid w:val="000753F6"/>
    <w:rsid w:val="00080E71"/>
    <w:rsid w:val="000966CA"/>
    <w:rsid w:val="00096B12"/>
    <w:rsid w:val="000A0023"/>
    <w:rsid w:val="000A11C5"/>
    <w:rsid w:val="000A475E"/>
    <w:rsid w:val="000A5AB3"/>
    <w:rsid w:val="000C60A0"/>
    <w:rsid w:val="000E360F"/>
    <w:rsid w:val="000E58C0"/>
    <w:rsid w:val="000F06D4"/>
    <w:rsid w:val="000F51CE"/>
    <w:rsid w:val="001009E4"/>
    <w:rsid w:val="00105B4B"/>
    <w:rsid w:val="00112769"/>
    <w:rsid w:val="00116129"/>
    <w:rsid w:val="00120743"/>
    <w:rsid w:val="001214AD"/>
    <w:rsid w:val="00121A8D"/>
    <w:rsid w:val="0012666A"/>
    <w:rsid w:val="00133FAB"/>
    <w:rsid w:val="001457C1"/>
    <w:rsid w:val="001503A1"/>
    <w:rsid w:val="001515D8"/>
    <w:rsid w:val="001569AF"/>
    <w:rsid w:val="00157EBD"/>
    <w:rsid w:val="00176D99"/>
    <w:rsid w:val="001862F3"/>
    <w:rsid w:val="0018694A"/>
    <w:rsid w:val="00191A0E"/>
    <w:rsid w:val="001A6E09"/>
    <w:rsid w:val="001A776E"/>
    <w:rsid w:val="001B7C12"/>
    <w:rsid w:val="001C0878"/>
    <w:rsid w:val="001C12C0"/>
    <w:rsid w:val="001C432D"/>
    <w:rsid w:val="001D21BE"/>
    <w:rsid w:val="001E0ABD"/>
    <w:rsid w:val="001E6FF9"/>
    <w:rsid w:val="00207AEF"/>
    <w:rsid w:val="002110BD"/>
    <w:rsid w:val="00216226"/>
    <w:rsid w:val="00217E32"/>
    <w:rsid w:val="00223243"/>
    <w:rsid w:val="00224C89"/>
    <w:rsid w:val="002261D2"/>
    <w:rsid w:val="002377B4"/>
    <w:rsid w:val="00237A78"/>
    <w:rsid w:val="00241829"/>
    <w:rsid w:val="00243066"/>
    <w:rsid w:val="0024599B"/>
    <w:rsid w:val="0025546A"/>
    <w:rsid w:val="00256C31"/>
    <w:rsid w:val="00273475"/>
    <w:rsid w:val="002B2684"/>
    <w:rsid w:val="002D0B8E"/>
    <w:rsid w:val="002E372A"/>
    <w:rsid w:val="002E6B2E"/>
    <w:rsid w:val="002F06A4"/>
    <w:rsid w:val="002F0B72"/>
    <w:rsid w:val="002F276E"/>
    <w:rsid w:val="002F4B51"/>
    <w:rsid w:val="003014AE"/>
    <w:rsid w:val="00306CE8"/>
    <w:rsid w:val="0031386A"/>
    <w:rsid w:val="003225F6"/>
    <w:rsid w:val="003424B1"/>
    <w:rsid w:val="00342570"/>
    <w:rsid w:val="00347619"/>
    <w:rsid w:val="003509DA"/>
    <w:rsid w:val="00354B6B"/>
    <w:rsid w:val="00374D68"/>
    <w:rsid w:val="00377997"/>
    <w:rsid w:val="0038110B"/>
    <w:rsid w:val="003848A8"/>
    <w:rsid w:val="003908EE"/>
    <w:rsid w:val="003942A0"/>
    <w:rsid w:val="00394A6F"/>
    <w:rsid w:val="00395588"/>
    <w:rsid w:val="003A092F"/>
    <w:rsid w:val="003B07FE"/>
    <w:rsid w:val="003B4608"/>
    <w:rsid w:val="003C0DD0"/>
    <w:rsid w:val="003C2E6D"/>
    <w:rsid w:val="003D23BA"/>
    <w:rsid w:val="003D3E04"/>
    <w:rsid w:val="003D6DEA"/>
    <w:rsid w:val="003E303F"/>
    <w:rsid w:val="003F0DB9"/>
    <w:rsid w:val="003F5C91"/>
    <w:rsid w:val="003F7855"/>
    <w:rsid w:val="003F7DBD"/>
    <w:rsid w:val="004072DF"/>
    <w:rsid w:val="00425147"/>
    <w:rsid w:val="00434E08"/>
    <w:rsid w:val="00435511"/>
    <w:rsid w:val="00447BCF"/>
    <w:rsid w:val="004623F1"/>
    <w:rsid w:val="00474F5E"/>
    <w:rsid w:val="00477835"/>
    <w:rsid w:val="004803E4"/>
    <w:rsid w:val="004936CD"/>
    <w:rsid w:val="00493823"/>
    <w:rsid w:val="00493F24"/>
    <w:rsid w:val="00493FC9"/>
    <w:rsid w:val="0049464F"/>
    <w:rsid w:val="00496D0E"/>
    <w:rsid w:val="004A031C"/>
    <w:rsid w:val="004B01E8"/>
    <w:rsid w:val="004B361E"/>
    <w:rsid w:val="004C6FC9"/>
    <w:rsid w:val="004D312E"/>
    <w:rsid w:val="004D7E01"/>
    <w:rsid w:val="004E51E8"/>
    <w:rsid w:val="004F2A3C"/>
    <w:rsid w:val="004F4981"/>
    <w:rsid w:val="00501A32"/>
    <w:rsid w:val="005051A1"/>
    <w:rsid w:val="00507AF7"/>
    <w:rsid w:val="00514A11"/>
    <w:rsid w:val="005164CF"/>
    <w:rsid w:val="0052771D"/>
    <w:rsid w:val="00533B58"/>
    <w:rsid w:val="0053425A"/>
    <w:rsid w:val="00537CE8"/>
    <w:rsid w:val="00537E0D"/>
    <w:rsid w:val="00540266"/>
    <w:rsid w:val="0054137C"/>
    <w:rsid w:val="00544C2C"/>
    <w:rsid w:val="00560F26"/>
    <w:rsid w:val="005637F5"/>
    <w:rsid w:val="0056429C"/>
    <w:rsid w:val="00564C44"/>
    <w:rsid w:val="00566E27"/>
    <w:rsid w:val="00572A48"/>
    <w:rsid w:val="00581E58"/>
    <w:rsid w:val="00582ADC"/>
    <w:rsid w:val="00586DE2"/>
    <w:rsid w:val="00591904"/>
    <w:rsid w:val="0059475A"/>
    <w:rsid w:val="0059492E"/>
    <w:rsid w:val="00594DD6"/>
    <w:rsid w:val="005A1284"/>
    <w:rsid w:val="005A32ED"/>
    <w:rsid w:val="005A3BE9"/>
    <w:rsid w:val="005B0200"/>
    <w:rsid w:val="005B0ED5"/>
    <w:rsid w:val="005B7102"/>
    <w:rsid w:val="005C6483"/>
    <w:rsid w:val="005D06CE"/>
    <w:rsid w:val="005D076F"/>
    <w:rsid w:val="005D0AFC"/>
    <w:rsid w:val="005D122C"/>
    <w:rsid w:val="005E2B30"/>
    <w:rsid w:val="005E3853"/>
    <w:rsid w:val="005F27DA"/>
    <w:rsid w:val="005F64F7"/>
    <w:rsid w:val="00605385"/>
    <w:rsid w:val="00606DA7"/>
    <w:rsid w:val="00631220"/>
    <w:rsid w:val="00646C39"/>
    <w:rsid w:val="0064702C"/>
    <w:rsid w:val="00652E17"/>
    <w:rsid w:val="006533F7"/>
    <w:rsid w:val="00654AD7"/>
    <w:rsid w:val="00657D5F"/>
    <w:rsid w:val="00665D14"/>
    <w:rsid w:val="00667E86"/>
    <w:rsid w:val="00670163"/>
    <w:rsid w:val="006728F2"/>
    <w:rsid w:val="00676797"/>
    <w:rsid w:val="006807FC"/>
    <w:rsid w:val="006916F8"/>
    <w:rsid w:val="006A4F63"/>
    <w:rsid w:val="006B137E"/>
    <w:rsid w:val="006D173E"/>
    <w:rsid w:val="006D5D6F"/>
    <w:rsid w:val="006D7895"/>
    <w:rsid w:val="006E2416"/>
    <w:rsid w:val="006E3593"/>
    <w:rsid w:val="006E3C94"/>
    <w:rsid w:val="006E601F"/>
    <w:rsid w:val="006F5E09"/>
    <w:rsid w:val="00705CB7"/>
    <w:rsid w:val="00711376"/>
    <w:rsid w:val="007115F2"/>
    <w:rsid w:val="00712638"/>
    <w:rsid w:val="00712AB3"/>
    <w:rsid w:val="00712CC9"/>
    <w:rsid w:val="00715185"/>
    <w:rsid w:val="00717337"/>
    <w:rsid w:val="007173E2"/>
    <w:rsid w:val="00720B62"/>
    <w:rsid w:val="00740BAE"/>
    <w:rsid w:val="00741A34"/>
    <w:rsid w:val="0074371A"/>
    <w:rsid w:val="007438A3"/>
    <w:rsid w:val="007442EB"/>
    <w:rsid w:val="00746965"/>
    <w:rsid w:val="00750125"/>
    <w:rsid w:val="007505F2"/>
    <w:rsid w:val="007534EC"/>
    <w:rsid w:val="0075373E"/>
    <w:rsid w:val="00755DFF"/>
    <w:rsid w:val="00761B05"/>
    <w:rsid w:val="00761B48"/>
    <w:rsid w:val="00763608"/>
    <w:rsid w:val="00765ABF"/>
    <w:rsid w:val="007664C4"/>
    <w:rsid w:val="00770296"/>
    <w:rsid w:val="007776CC"/>
    <w:rsid w:val="00785EB9"/>
    <w:rsid w:val="00786704"/>
    <w:rsid w:val="00786A3B"/>
    <w:rsid w:val="007940D1"/>
    <w:rsid w:val="00796254"/>
    <w:rsid w:val="007A6FA0"/>
    <w:rsid w:val="007B6A74"/>
    <w:rsid w:val="007C0A66"/>
    <w:rsid w:val="007C1E91"/>
    <w:rsid w:val="007D2022"/>
    <w:rsid w:val="007D321D"/>
    <w:rsid w:val="007E50A1"/>
    <w:rsid w:val="007E690F"/>
    <w:rsid w:val="007E6E19"/>
    <w:rsid w:val="007E73CF"/>
    <w:rsid w:val="007F0407"/>
    <w:rsid w:val="007F1DEC"/>
    <w:rsid w:val="00811636"/>
    <w:rsid w:val="008254B0"/>
    <w:rsid w:val="00830C2F"/>
    <w:rsid w:val="008321E9"/>
    <w:rsid w:val="00834038"/>
    <w:rsid w:val="00834FAD"/>
    <w:rsid w:val="00836436"/>
    <w:rsid w:val="00840247"/>
    <w:rsid w:val="00842578"/>
    <w:rsid w:val="00843DA3"/>
    <w:rsid w:val="00847C21"/>
    <w:rsid w:val="00856CE9"/>
    <w:rsid w:val="00862A24"/>
    <w:rsid w:val="008718B7"/>
    <w:rsid w:val="008724E1"/>
    <w:rsid w:val="00883176"/>
    <w:rsid w:val="008861E0"/>
    <w:rsid w:val="00892EBC"/>
    <w:rsid w:val="008972FF"/>
    <w:rsid w:val="008A12A3"/>
    <w:rsid w:val="008A2E16"/>
    <w:rsid w:val="008A4DCC"/>
    <w:rsid w:val="008B02B6"/>
    <w:rsid w:val="008B09C1"/>
    <w:rsid w:val="008B51B8"/>
    <w:rsid w:val="008B548D"/>
    <w:rsid w:val="008B6757"/>
    <w:rsid w:val="008C3634"/>
    <w:rsid w:val="008D06A7"/>
    <w:rsid w:val="008E23FE"/>
    <w:rsid w:val="008F0F81"/>
    <w:rsid w:val="008F4276"/>
    <w:rsid w:val="008F7A74"/>
    <w:rsid w:val="00906B20"/>
    <w:rsid w:val="0091732D"/>
    <w:rsid w:val="00920375"/>
    <w:rsid w:val="009224BF"/>
    <w:rsid w:val="009233BE"/>
    <w:rsid w:val="009240CF"/>
    <w:rsid w:val="00925F28"/>
    <w:rsid w:val="009273FB"/>
    <w:rsid w:val="00930A79"/>
    <w:rsid w:val="0093129F"/>
    <w:rsid w:val="009327B9"/>
    <w:rsid w:val="00933CB8"/>
    <w:rsid w:val="00933DDB"/>
    <w:rsid w:val="009352D3"/>
    <w:rsid w:val="0095069A"/>
    <w:rsid w:val="00953CE4"/>
    <w:rsid w:val="00956FF0"/>
    <w:rsid w:val="0095771F"/>
    <w:rsid w:val="00957F44"/>
    <w:rsid w:val="0096446E"/>
    <w:rsid w:val="00967AC8"/>
    <w:rsid w:val="009707FA"/>
    <w:rsid w:val="00970D82"/>
    <w:rsid w:val="009756AC"/>
    <w:rsid w:val="00975BFA"/>
    <w:rsid w:val="00976F78"/>
    <w:rsid w:val="00982150"/>
    <w:rsid w:val="00986E8D"/>
    <w:rsid w:val="00987000"/>
    <w:rsid w:val="009A4065"/>
    <w:rsid w:val="009A66F8"/>
    <w:rsid w:val="009C1146"/>
    <w:rsid w:val="009C1D1B"/>
    <w:rsid w:val="009C482D"/>
    <w:rsid w:val="009C6227"/>
    <w:rsid w:val="009D0432"/>
    <w:rsid w:val="009D355D"/>
    <w:rsid w:val="009D7625"/>
    <w:rsid w:val="009E111D"/>
    <w:rsid w:val="009E1F93"/>
    <w:rsid w:val="009F6064"/>
    <w:rsid w:val="00A0357D"/>
    <w:rsid w:val="00A10196"/>
    <w:rsid w:val="00A122ED"/>
    <w:rsid w:val="00A156A7"/>
    <w:rsid w:val="00A22056"/>
    <w:rsid w:val="00A302B8"/>
    <w:rsid w:val="00A3284B"/>
    <w:rsid w:val="00A46A47"/>
    <w:rsid w:val="00A64D51"/>
    <w:rsid w:val="00A81C9F"/>
    <w:rsid w:val="00A83F15"/>
    <w:rsid w:val="00A85CF6"/>
    <w:rsid w:val="00A8613B"/>
    <w:rsid w:val="00A93125"/>
    <w:rsid w:val="00A941F6"/>
    <w:rsid w:val="00A97D8D"/>
    <w:rsid w:val="00AA239D"/>
    <w:rsid w:val="00AA4FF5"/>
    <w:rsid w:val="00AA59AE"/>
    <w:rsid w:val="00AA600B"/>
    <w:rsid w:val="00AA74F4"/>
    <w:rsid w:val="00AB0BF5"/>
    <w:rsid w:val="00AB1AE2"/>
    <w:rsid w:val="00AB274E"/>
    <w:rsid w:val="00AB309B"/>
    <w:rsid w:val="00AB5F5C"/>
    <w:rsid w:val="00AD26D6"/>
    <w:rsid w:val="00AE0ED7"/>
    <w:rsid w:val="00AE4C81"/>
    <w:rsid w:val="00B00B1C"/>
    <w:rsid w:val="00B03F39"/>
    <w:rsid w:val="00B11448"/>
    <w:rsid w:val="00B14449"/>
    <w:rsid w:val="00B32041"/>
    <w:rsid w:val="00B327D1"/>
    <w:rsid w:val="00B34452"/>
    <w:rsid w:val="00B44D03"/>
    <w:rsid w:val="00B50F59"/>
    <w:rsid w:val="00B53523"/>
    <w:rsid w:val="00B600C9"/>
    <w:rsid w:val="00B6789C"/>
    <w:rsid w:val="00B720D7"/>
    <w:rsid w:val="00B74E02"/>
    <w:rsid w:val="00B83C0B"/>
    <w:rsid w:val="00B87B36"/>
    <w:rsid w:val="00BA381A"/>
    <w:rsid w:val="00BA7150"/>
    <w:rsid w:val="00BB1F0F"/>
    <w:rsid w:val="00BB3445"/>
    <w:rsid w:val="00BC5881"/>
    <w:rsid w:val="00BD4B9B"/>
    <w:rsid w:val="00BE23FE"/>
    <w:rsid w:val="00BE40A2"/>
    <w:rsid w:val="00BE4309"/>
    <w:rsid w:val="00BF09A0"/>
    <w:rsid w:val="00BF68C6"/>
    <w:rsid w:val="00C01CEC"/>
    <w:rsid w:val="00C1539F"/>
    <w:rsid w:val="00C15DDE"/>
    <w:rsid w:val="00C20284"/>
    <w:rsid w:val="00C317C9"/>
    <w:rsid w:val="00C41EEA"/>
    <w:rsid w:val="00C43533"/>
    <w:rsid w:val="00C51E6E"/>
    <w:rsid w:val="00C639EA"/>
    <w:rsid w:val="00C65549"/>
    <w:rsid w:val="00C65B78"/>
    <w:rsid w:val="00C71889"/>
    <w:rsid w:val="00C7447C"/>
    <w:rsid w:val="00C75B54"/>
    <w:rsid w:val="00C816B6"/>
    <w:rsid w:val="00C8328F"/>
    <w:rsid w:val="00C84ECC"/>
    <w:rsid w:val="00C85DB5"/>
    <w:rsid w:val="00C932FC"/>
    <w:rsid w:val="00C97E77"/>
    <w:rsid w:val="00CA1AE1"/>
    <w:rsid w:val="00CA4D33"/>
    <w:rsid w:val="00CA4F96"/>
    <w:rsid w:val="00CA5F65"/>
    <w:rsid w:val="00CA6A6D"/>
    <w:rsid w:val="00CB0A75"/>
    <w:rsid w:val="00CB156C"/>
    <w:rsid w:val="00CB25FD"/>
    <w:rsid w:val="00CC21E7"/>
    <w:rsid w:val="00CC56F9"/>
    <w:rsid w:val="00CC6887"/>
    <w:rsid w:val="00CD1868"/>
    <w:rsid w:val="00CD46B8"/>
    <w:rsid w:val="00CE6AFC"/>
    <w:rsid w:val="00CF4B60"/>
    <w:rsid w:val="00CF55C4"/>
    <w:rsid w:val="00D04EA8"/>
    <w:rsid w:val="00D06C35"/>
    <w:rsid w:val="00D129AB"/>
    <w:rsid w:val="00D14064"/>
    <w:rsid w:val="00D15F3A"/>
    <w:rsid w:val="00D235D7"/>
    <w:rsid w:val="00D37ADA"/>
    <w:rsid w:val="00D62A5C"/>
    <w:rsid w:val="00D71A96"/>
    <w:rsid w:val="00D75764"/>
    <w:rsid w:val="00D958E2"/>
    <w:rsid w:val="00DB6F0A"/>
    <w:rsid w:val="00DC17F0"/>
    <w:rsid w:val="00DC61FA"/>
    <w:rsid w:val="00DD01CB"/>
    <w:rsid w:val="00DD2DFF"/>
    <w:rsid w:val="00DD5234"/>
    <w:rsid w:val="00DD6E86"/>
    <w:rsid w:val="00DE05D4"/>
    <w:rsid w:val="00DE4D21"/>
    <w:rsid w:val="00DE6D31"/>
    <w:rsid w:val="00DF166C"/>
    <w:rsid w:val="00DF1FFE"/>
    <w:rsid w:val="00E04078"/>
    <w:rsid w:val="00E055D0"/>
    <w:rsid w:val="00E06EBF"/>
    <w:rsid w:val="00E14DCB"/>
    <w:rsid w:val="00E17360"/>
    <w:rsid w:val="00E22025"/>
    <w:rsid w:val="00E24449"/>
    <w:rsid w:val="00E2722F"/>
    <w:rsid w:val="00E306CA"/>
    <w:rsid w:val="00E31239"/>
    <w:rsid w:val="00E45E70"/>
    <w:rsid w:val="00E56BA6"/>
    <w:rsid w:val="00E75CE9"/>
    <w:rsid w:val="00E773B6"/>
    <w:rsid w:val="00E83DA5"/>
    <w:rsid w:val="00E87CF0"/>
    <w:rsid w:val="00E95A7C"/>
    <w:rsid w:val="00EA4EE1"/>
    <w:rsid w:val="00EA5725"/>
    <w:rsid w:val="00EA58B1"/>
    <w:rsid w:val="00EC273E"/>
    <w:rsid w:val="00ED2247"/>
    <w:rsid w:val="00ED5A77"/>
    <w:rsid w:val="00ED5B62"/>
    <w:rsid w:val="00EE5A67"/>
    <w:rsid w:val="00EE623F"/>
    <w:rsid w:val="00EF051B"/>
    <w:rsid w:val="00EF3712"/>
    <w:rsid w:val="00EF7DE0"/>
    <w:rsid w:val="00F00071"/>
    <w:rsid w:val="00F059F1"/>
    <w:rsid w:val="00F10590"/>
    <w:rsid w:val="00F130C6"/>
    <w:rsid w:val="00F16AD6"/>
    <w:rsid w:val="00F24264"/>
    <w:rsid w:val="00F27DCC"/>
    <w:rsid w:val="00F27EEA"/>
    <w:rsid w:val="00F3012A"/>
    <w:rsid w:val="00F3085A"/>
    <w:rsid w:val="00F31ECE"/>
    <w:rsid w:val="00F4192D"/>
    <w:rsid w:val="00F458FE"/>
    <w:rsid w:val="00F61151"/>
    <w:rsid w:val="00F61BF3"/>
    <w:rsid w:val="00F6416B"/>
    <w:rsid w:val="00F65537"/>
    <w:rsid w:val="00F72676"/>
    <w:rsid w:val="00F8406D"/>
    <w:rsid w:val="00F8458A"/>
    <w:rsid w:val="00F96DFF"/>
    <w:rsid w:val="00FA277A"/>
    <w:rsid w:val="00FA37DF"/>
    <w:rsid w:val="00FA3C8C"/>
    <w:rsid w:val="00FB570B"/>
    <w:rsid w:val="00FB7FA8"/>
    <w:rsid w:val="00FC1C57"/>
    <w:rsid w:val="00FC1FBE"/>
    <w:rsid w:val="00FC26A7"/>
    <w:rsid w:val="00FD59C2"/>
    <w:rsid w:val="00FD66B5"/>
    <w:rsid w:val="00FE2EC3"/>
    <w:rsid w:val="00FE4DD6"/>
    <w:rsid w:val="00FF641B"/>
    <w:rsid w:val="07B41972"/>
    <w:rsid w:val="0A9117EC"/>
    <w:rsid w:val="10CC6268"/>
    <w:rsid w:val="157A0078"/>
    <w:rsid w:val="1A0B3F2A"/>
    <w:rsid w:val="1F1F114A"/>
    <w:rsid w:val="2388485A"/>
    <w:rsid w:val="282D3806"/>
    <w:rsid w:val="28D7236D"/>
    <w:rsid w:val="29C81276"/>
    <w:rsid w:val="30E71CEF"/>
    <w:rsid w:val="31073A74"/>
    <w:rsid w:val="378F7186"/>
    <w:rsid w:val="39BD6F87"/>
    <w:rsid w:val="4108768C"/>
    <w:rsid w:val="50525724"/>
    <w:rsid w:val="51077484"/>
    <w:rsid w:val="54243314"/>
    <w:rsid w:val="58580C9A"/>
    <w:rsid w:val="5F191DE0"/>
    <w:rsid w:val="641E1FB7"/>
    <w:rsid w:val="64A31E4D"/>
    <w:rsid w:val="663065C0"/>
    <w:rsid w:val="697737BB"/>
    <w:rsid w:val="6CD62B5F"/>
    <w:rsid w:val="6E491E2A"/>
    <w:rsid w:val="7E9E64DC"/>
    <w:rsid w:val="7F8C058C"/>
    <w:rsid w:val="7FFE6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rPr>
      <w:sz w:val="32"/>
    </w:rPr>
  </w:style>
  <w:style w:type="paragraph" w:styleId="3">
    <w:name w:val="footer"/>
    <w:basedOn w:val="1"/>
    <w:link w:val="26"/>
    <w:qFormat/>
    <w:uiPriority w:val="99"/>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semiHidden/>
    <w:unhideWhenUsed/>
    <w:qFormat/>
    <w:uiPriority w:val="99"/>
    <w:pPr>
      <w:widowControl/>
      <w:spacing w:before="100" w:beforeAutospacing="1" w:after="100" w:afterAutospacing="1"/>
    </w:pPr>
    <w:rPr>
      <w:rFonts w:ascii="宋体" w:hAnsi="宋体" w:eastAsia="宋体" w:cs="宋体"/>
      <w:color w:val="auto"/>
      <w:lang w:eastAsia="zh-CN" w:bidi="ar-SA"/>
    </w:rPr>
  </w:style>
  <w:style w:type="character" w:styleId="8">
    <w:name w:val="Strong"/>
    <w:basedOn w:val="7"/>
    <w:qFormat/>
    <w:uiPriority w:val="22"/>
    <w:rPr>
      <w:b/>
      <w:bCs/>
    </w:rPr>
  </w:style>
  <w:style w:type="character" w:customStyle="1" w:styleId="9">
    <w:name w:val="Heading #1|1_"/>
    <w:basedOn w:val="7"/>
    <w:link w:val="10"/>
    <w:qFormat/>
    <w:uiPriority w:val="0"/>
    <w:rPr>
      <w:rFonts w:ascii="宋体" w:hAnsi="宋体" w:eastAsia="宋体" w:cs="宋体"/>
      <w:sz w:val="92"/>
      <w:szCs w:val="92"/>
      <w:u w:val="none"/>
      <w:shd w:val="clear" w:color="auto" w:fill="auto"/>
      <w:lang w:val="zh-TW" w:eastAsia="zh-TW" w:bidi="zh-TW"/>
    </w:rPr>
  </w:style>
  <w:style w:type="paragraph" w:customStyle="1" w:styleId="10">
    <w:name w:val="Heading #1|1"/>
    <w:basedOn w:val="1"/>
    <w:link w:val="9"/>
    <w:qFormat/>
    <w:uiPriority w:val="0"/>
    <w:pPr>
      <w:spacing w:before="2340" w:after="980"/>
      <w:outlineLvl w:val="0"/>
    </w:pPr>
    <w:rPr>
      <w:rFonts w:ascii="宋体" w:hAnsi="宋体" w:eastAsia="宋体" w:cs="宋体"/>
      <w:sz w:val="92"/>
      <w:szCs w:val="92"/>
      <w:lang w:val="zh-TW" w:eastAsia="zh-TW" w:bidi="zh-TW"/>
    </w:rPr>
  </w:style>
  <w:style w:type="character" w:customStyle="1" w:styleId="11">
    <w:name w:val="Body text|1_"/>
    <w:basedOn w:val="7"/>
    <w:link w:val="12"/>
    <w:qFormat/>
    <w:uiPriority w:val="0"/>
    <w:rPr>
      <w:rFonts w:ascii="宋体" w:hAnsi="宋体" w:eastAsia="仿宋" w:cs="宋体"/>
      <w:color w:val="000000"/>
      <w:sz w:val="32"/>
      <w:szCs w:val="30"/>
      <w:lang w:val="zh-TW" w:eastAsia="zh-TW" w:bidi="zh-TW"/>
    </w:rPr>
  </w:style>
  <w:style w:type="paragraph" w:customStyle="1" w:styleId="12">
    <w:name w:val="Body text|1"/>
    <w:basedOn w:val="1"/>
    <w:link w:val="11"/>
    <w:qFormat/>
    <w:uiPriority w:val="0"/>
    <w:pPr>
      <w:spacing w:line="446" w:lineRule="auto"/>
      <w:ind w:firstLine="400"/>
    </w:pPr>
    <w:rPr>
      <w:rFonts w:ascii="宋体" w:hAnsi="宋体" w:eastAsia="仿宋" w:cs="宋体"/>
      <w:sz w:val="32"/>
      <w:szCs w:val="30"/>
      <w:lang w:val="zh-TW" w:eastAsia="zh-TW" w:bidi="zh-TW"/>
    </w:rPr>
  </w:style>
  <w:style w:type="character" w:customStyle="1" w:styleId="13">
    <w:name w:val="Heading #2|1_"/>
    <w:basedOn w:val="7"/>
    <w:link w:val="14"/>
    <w:qFormat/>
    <w:uiPriority w:val="0"/>
    <w:rPr>
      <w:rFonts w:ascii="宋体" w:hAnsi="宋体" w:eastAsia="宋体" w:cs="宋体"/>
      <w:sz w:val="42"/>
      <w:szCs w:val="42"/>
      <w:u w:val="none"/>
      <w:shd w:val="clear" w:color="auto" w:fill="auto"/>
      <w:lang w:val="zh-TW" w:eastAsia="zh-TW" w:bidi="zh-TW"/>
    </w:rPr>
  </w:style>
  <w:style w:type="paragraph" w:customStyle="1" w:styleId="14">
    <w:name w:val="Heading #2|1"/>
    <w:basedOn w:val="1"/>
    <w:link w:val="13"/>
    <w:qFormat/>
    <w:uiPriority w:val="0"/>
    <w:pPr>
      <w:spacing w:after="650" w:line="691" w:lineRule="exact"/>
      <w:jc w:val="center"/>
      <w:outlineLvl w:val="1"/>
    </w:pPr>
    <w:rPr>
      <w:rFonts w:ascii="宋体" w:hAnsi="宋体" w:eastAsia="宋体" w:cs="宋体"/>
      <w:sz w:val="42"/>
      <w:szCs w:val="42"/>
      <w:lang w:val="zh-TW" w:eastAsia="zh-TW" w:bidi="zh-TW"/>
    </w:rPr>
  </w:style>
  <w:style w:type="character" w:customStyle="1" w:styleId="15">
    <w:name w:val="Picture caption|1_"/>
    <w:basedOn w:val="7"/>
    <w:link w:val="16"/>
    <w:qFormat/>
    <w:uiPriority w:val="0"/>
    <w:rPr>
      <w:rFonts w:ascii="宋体" w:hAnsi="宋体" w:eastAsia="宋体" w:cs="宋体"/>
      <w:sz w:val="30"/>
      <w:szCs w:val="30"/>
      <w:u w:val="none"/>
      <w:shd w:val="clear" w:color="auto" w:fill="auto"/>
      <w:lang w:val="zh-TW" w:eastAsia="zh-TW" w:bidi="zh-TW"/>
    </w:rPr>
  </w:style>
  <w:style w:type="paragraph" w:customStyle="1" w:styleId="16">
    <w:name w:val="Picture caption|1"/>
    <w:basedOn w:val="1"/>
    <w:link w:val="15"/>
    <w:qFormat/>
    <w:uiPriority w:val="0"/>
    <w:pPr>
      <w:jc w:val="center"/>
    </w:pPr>
    <w:rPr>
      <w:rFonts w:ascii="宋体" w:hAnsi="宋体" w:eastAsia="宋体" w:cs="宋体"/>
      <w:sz w:val="30"/>
      <w:szCs w:val="30"/>
      <w:lang w:val="zh-TW" w:eastAsia="zh-TW" w:bidi="zh-TW"/>
    </w:rPr>
  </w:style>
  <w:style w:type="character" w:customStyle="1" w:styleId="17">
    <w:name w:val="Header or footer|2_"/>
    <w:basedOn w:val="7"/>
    <w:link w:val="18"/>
    <w:qFormat/>
    <w:uiPriority w:val="0"/>
    <w:rPr>
      <w:sz w:val="20"/>
      <w:szCs w:val="20"/>
      <w:u w:val="none"/>
      <w:shd w:val="clear" w:color="auto" w:fill="auto"/>
      <w:lang w:val="zh-TW" w:eastAsia="zh-TW" w:bidi="zh-TW"/>
    </w:rPr>
  </w:style>
  <w:style w:type="paragraph" w:customStyle="1" w:styleId="18">
    <w:name w:val="Header or footer|2"/>
    <w:basedOn w:val="1"/>
    <w:link w:val="17"/>
    <w:qFormat/>
    <w:uiPriority w:val="0"/>
    <w:rPr>
      <w:sz w:val="20"/>
      <w:szCs w:val="20"/>
      <w:lang w:val="zh-TW" w:eastAsia="zh-TW" w:bidi="zh-TW"/>
    </w:rPr>
  </w:style>
  <w:style w:type="character" w:customStyle="1" w:styleId="19">
    <w:name w:val="Body text|3_"/>
    <w:basedOn w:val="7"/>
    <w:link w:val="20"/>
    <w:qFormat/>
    <w:uiPriority w:val="0"/>
    <w:rPr>
      <w:sz w:val="28"/>
      <w:szCs w:val="28"/>
      <w:u w:val="none"/>
      <w:shd w:val="clear" w:color="auto" w:fill="auto"/>
      <w:lang w:val="zh-TW" w:eastAsia="zh-TW" w:bidi="zh-TW"/>
    </w:rPr>
  </w:style>
  <w:style w:type="paragraph" w:customStyle="1" w:styleId="20">
    <w:name w:val="Body text|3"/>
    <w:basedOn w:val="1"/>
    <w:link w:val="19"/>
    <w:qFormat/>
    <w:uiPriority w:val="0"/>
    <w:pPr>
      <w:spacing w:after="340"/>
      <w:ind w:firstLine="140"/>
    </w:pPr>
    <w:rPr>
      <w:sz w:val="28"/>
      <w:szCs w:val="28"/>
      <w:lang w:val="zh-TW" w:eastAsia="zh-TW" w:bidi="zh-TW"/>
    </w:rPr>
  </w:style>
  <w:style w:type="character" w:customStyle="1" w:styleId="21">
    <w:name w:val="Header or footer|1_"/>
    <w:basedOn w:val="7"/>
    <w:link w:val="22"/>
    <w:qFormat/>
    <w:uiPriority w:val="0"/>
    <w:rPr>
      <w:sz w:val="28"/>
      <w:szCs w:val="28"/>
      <w:u w:val="none"/>
      <w:shd w:val="clear" w:color="auto" w:fill="auto"/>
      <w:lang w:val="zh-TW" w:eastAsia="zh-TW" w:bidi="zh-TW"/>
    </w:rPr>
  </w:style>
  <w:style w:type="paragraph" w:customStyle="1" w:styleId="22">
    <w:name w:val="Header or footer|1"/>
    <w:basedOn w:val="1"/>
    <w:link w:val="21"/>
    <w:qFormat/>
    <w:uiPriority w:val="0"/>
    <w:rPr>
      <w:sz w:val="28"/>
      <w:szCs w:val="28"/>
      <w:lang w:val="zh-TW" w:eastAsia="zh-TW" w:bidi="zh-TW"/>
    </w:rPr>
  </w:style>
  <w:style w:type="character" w:customStyle="1" w:styleId="23">
    <w:name w:val="Body text|2_"/>
    <w:basedOn w:val="7"/>
    <w:link w:val="24"/>
    <w:qFormat/>
    <w:uiPriority w:val="0"/>
    <w:rPr>
      <w:rFonts w:ascii="宋体" w:hAnsi="宋体" w:eastAsia="宋体" w:cs="宋体"/>
      <w:sz w:val="26"/>
      <w:szCs w:val="26"/>
      <w:u w:val="none"/>
      <w:shd w:val="clear" w:color="auto" w:fill="auto"/>
      <w:lang w:val="zh-TW" w:eastAsia="zh-TW" w:bidi="zh-TW"/>
    </w:rPr>
  </w:style>
  <w:style w:type="paragraph" w:customStyle="1" w:styleId="24">
    <w:name w:val="Body text|2"/>
    <w:basedOn w:val="1"/>
    <w:link w:val="23"/>
    <w:qFormat/>
    <w:uiPriority w:val="0"/>
    <w:pPr>
      <w:spacing w:after="530"/>
      <w:ind w:firstLine="300"/>
    </w:pPr>
    <w:rPr>
      <w:rFonts w:ascii="宋体" w:hAnsi="宋体" w:eastAsia="宋体" w:cs="宋体"/>
      <w:sz w:val="26"/>
      <w:szCs w:val="26"/>
      <w:lang w:val="zh-TW" w:eastAsia="zh-TW" w:bidi="zh-TW"/>
    </w:rPr>
  </w:style>
  <w:style w:type="character" w:customStyle="1" w:styleId="25">
    <w:name w:val="text-tag"/>
    <w:basedOn w:val="7"/>
    <w:qFormat/>
    <w:uiPriority w:val="0"/>
  </w:style>
  <w:style w:type="character" w:customStyle="1" w:styleId="26">
    <w:name w:val="页脚 字符"/>
    <w:basedOn w:val="7"/>
    <w:link w:val="3"/>
    <w:qFormat/>
    <w:uiPriority w:val="99"/>
    <w:rPr>
      <w:rFonts w:eastAsia="Times New Roman"/>
      <w:color w:val="000000"/>
      <w:sz w:val="18"/>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9</Pages>
  <Words>564</Words>
  <Characters>3221</Characters>
  <Lines>26</Lines>
  <Paragraphs>7</Paragraphs>
  <TotalTime>2</TotalTime>
  <ScaleCrop>false</ScaleCrop>
  <LinksUpToDate>false</LinksUpToDate>
  <CharactersWithSpaces>3778</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2020-12-17T14:00:00Z</dcterms:created>
  <dc:creator>gfdjfgjk</dc:creator>
  <cp:lastModifiedBy>thtf</cp:lastModifiedBy>
  <cp:lastPrinted>2022-05-20T09:01:00Z</cp:lastPrinted>
  <dcterms:modified xsi:type="dcterms:W3CDTF">2022-06-15T09:24:43Z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33267316FA684A1EBA340DDB41824761</vt:lpwstr>
  </property>
</Properties>
</file>