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pBdr>
          <w:top w:val="single" w:color="C5D4E2" w:sz="6" w:space="0"/>
          <w:left w:val="single" w:color="C5D4E2" w:sz="6" w:space="0"/>
          <w:bottom w:val="single" w:color="C5D4E2" w:sz="6" w:space="0"/>
          <w:right w:val="single" w:color="C5D4E2" w:sz="6" w:space="0"/>
        </w:pBdr>
        <w:shd w:val="clear" w:color="auto" w:fill="F0F3F7"/>
        <w:spacing w:before="375" w:after="75"/>
        <w:ind w:left="316" w:right="300" w:firstLine="640"/>
        <w:jc w:val="center"/>
        <w:rPr>
          <w:rFonts w:ascii="黑体" w:hAnsi="宋体" w:eastAsia="黑体" w:cs="黑体"/>
          <w:color w:val="133555"/>
          <w:sz w:val="32"/>
          <w:szCs w:val="32"/>
        </w:rPr>
      </w:pPr>
      <w:r>
        <w:rPr>
          <w:rFonts w:hint="eastAsia" w:ascii="黑体" w:hAnsi="宋体" w:eastAsia="黑体" w:cs="黑体"/>
          <w:color w:val="133555"/>
          <w:kern w:val="0"/>
          <w:sz w:val="32"/>
          <w:szCs w:val="32"/>
          <w:shd w:val="clear" w:color="auto" w:fill="F0F3F7"/>
        </w:rPr>
        <w:t>版 权 和 免 责 声 明</w:t>
      </w:r>
    </w:p>
    <w:p>
      <w:pPr>
        <w:pStyle w:val="18"/>
        <w:widowControl/>
        <w:spacing w:before="0" w:beforeAutospacing="0" w:line="480" w:lineRule="exact"/>
        <w:ind w:left="316" w:right="300" w:firstLine="420"/>
        <w:rPr>
          <w:color w:val="344B5F"/>
          <w:sz w:val="28"/>
          <w:szCs w:val="28"/>
        </w:rPr>
      </w:pPr>
      <w:r>
        <w:rPr>
          <w:rFonts w:hint="eastAsia" w:ascii="宋体" w:hAnsi="宋体" w:cs="宋体"/>
          <w:color w:val="344B5F"/>
          <w:sz w:val="28"/>
          <w:szCs w:val="28"/>
          <w:shd w:val="clear" w:color="auto" w:fill="F0F3F7"/>
        </w:rPr>
        <w:t>本栏目的主要目的在于便于公众通过网络查阅了解嘉兴市的城市规划。嘉兴市自然资源和规划局将尽量及时更新公开的内容并保障其准确性，但限于技术及更新的时间差等原因，最终的规划内容应以保存于嘉兴市自然资源和规划局的原始批文和图件为准。</w:t>
      </w:r>
    </w:p>
    <w:p>
      <w:pPr>
        <w:pStyle w:val="18"/>
        <w:widowControl/>
        <w:spacing w:before="0" w:beforeAutospacing="0" w:line="480" w:lineRule="exact"/>
        <w:ind w:left="316" w:right="300" w:firstLine="420"/>
        <w:rPr>
          <w:rFonts w:ascii="宋体" w:hAnsi="宋体" w:cs="宋体"/>
          <w:color w:val="344B5F"/>
          <w:sz w:val="28"/>
          <w:szCs w:val="28"/>
          <w:shd w:val="clear" w:color="auto" w:fill="F0F3F7"/>
        </w:rPr>
      </w:pPr>
      <w:r>
        <w:rPr>
          <w:rFonts w:hint="eastAsia" w:ascii="宋体" w:hAnsi="宋体" w:cs="宋体"/>
          <w:color w:val="344B5F"/>
          <w:sz w:val="28"/>
          <w:szCs w:val="28"/>
          <w:shd w:val="clear" w:color="auto" w:fill="F0F3F7"/>
        </w:rPr>
        <w:t>由于控规编制的时间不同会引起不同控规单元间的界线不完全重合，敬请谅解！</w:t>
      </w:r>
    </w:p>
    <w:p>
      <w:pPr>
        <w:pStyle w:val="18"/>
        <w:widowControl/>
        <w:spacing w:before="0" w:beforeAutospacing="0" w:line="480" w:lineRule="exact"/>
        <w:ind w:left="316" w:right="300" w:firstLine="420"/>
        <w:rPr>
          <w:rFonts w:ascii="宋体" w:hAnsi="宋体" w:cs="宋体"/>
          <w:color w:val="344B5F"/>
          <w:sz w:val="28"/>
          <w:szCs w:val="28"/>
          <w:shd w:val="clear" w:color="auto" w:fill="F0F3F7"/>
        </w:rPr>
      </w:pPr>
      <w:r>
        <w:rPr>
          <w:rFonts w:hint="eastAsia" w:ascii="宋体" w:hAnsi="宋体" w:cs="宋体"/>
          <w:color w:val="344B5F"/>
          <w:sz w:val="28"/>
          <w:szCs w:val="28"/>
          <w:shd w:val="clear" w:color="auto" w:fill="F0F3F7"/>
        </w:rPr>
        <w:t>本栏目所发布的内容，包括所有文本、图纸、照片、数据及资料汇编，均受版权保护。除非预先取得版权所有人的书面授权，否则严禁改变、分发、发布或向公众提供该版权作品。</w:t>
      </w:r>
    </w:p>
    <w:p>
      <w:pPr>
        <w:pStyle w:val="18"/>
        <w:widowControl/>
        <w:spacing w:before="0" w:beforeAutospacing="0" w:line="480" w:lineRule="exact"/>
        <w:ind w:left="316" w:right="300" w:firstLine="420"/>
        <w:rPr>
          <w:color w:val="344B5F"/>
          <w:sz w:val="28"/>
          <w:szCs w:val="28"/>
        </w:rPr>
      </w:pPr>
      <w:r>
        <w:rPr>
          <w:rFonts w:hint="eastAsia" w:ascii="宋体" w:hAnsi="宋体" w:cs="宋体"/>
          <w:color w:val="344B5F"/>
          <w:sz w:val="28"/>
          <w:szCs w:val="28"/>
          <w:shd w:val="clear" w:color="auto" w:fill="F0F3F7"/>
        </w:rPr>
        <w:t>任何土地或建筑物的现有用途即使不符合规划，也无需作出更正，直至用途有所改变或建筑物进行重建为止。</w:t>
      </w:r>
    </w:p>
    <w:p>
      <w:pPr>
        <w:pStyle w:val="18"/>
        <w:widowControl/>
        <w:spacing w:before="0" w:beforeAutospacing="0" w:line="480" w:lineRule="exact"/>
        <w:ind w:left="316" w:right="300" w:firstLine="420"/>
        <w:rPr>
          <w:rFonts w:ascii="宋体" w:hAnsi="宋体" w:cs="宋体"/>
          <w:color w:val="344B5F"/>
          <w:sz w:val="28"/>
          <w:szCs w:val="28"/>
          <w:shd w:val="clear" w:color="auto" w:fill="F0F3F7"/>
        </w:rPr>
      </w:pPr>
      <w:r>
        <w:rPr>
          <w:rFonts w:hint="eastAsia" w:ascii="宋体" w:hAnsi="宋体" w:cs="宋体"/>
          <w:color w:val="344B5F"/>
          <w:sz w:val="28"/>
          <w:szCs w:val="28"/>
          <w:shd w:val="clear" w:color="auto" w:fill="F0F3F7"/>
        </w:rPr>
        <w:t>如变更土地性质或建筑物用途，或在土地内进行任何其他建设，则新的土地性质或建筑物用途，必须符合规划。</w:t>
      </w:r>
    </w:p>
    <w:p>
      <w:pPr>
        <w:pStyle w:val="18"/>
        <w:widowControl/>
        <w:spacing w:before="0" w:beforeAutospacing="0" w:line="480" w:lineRule="exact"/>
        <w:ind w:left="316" w:right="300" w:firstLine="560"/>
        <w:rPr>
          <w:color w:val="344B5F"/>
          <w:sz w:val="28"/>
          <w:szCs w:val="28"/>
        </w:rPr>
      </w:pPr>
      <w:r>
        <w:rPr>
          <w:rFonts w:hint="eastAsia" w:ascii="宋体" w:hAnsi="宋体" w:cs="宋体"/>
          <w:color w:val="344B5F"/>
          <w:sz w:val="28"/>
          <w:szCs w:val="28"/>
          <w:shd w:val="clear" w:color="auto" w:fill="F0F3F7"/>
        </w:rPr>
        <w:t>本次公布内容最终解释权归嘉兴市自然资源和规划局所有。</w:t>
      </w:r>
    </w:p>
    <w:p>
      <w:pPr>
        <w:ind w:firstLine="640"/>
        <w:rPr>
          <w:rFonts w:ascii="黑体"/>
          <w:sz w:val="32"/>
        </w:rPr>
      </w:pPr>
      <w:r>
        <w:rPr>
          <w:rFonts w:ascii="黑体"/>
          <w:sz w:val="32"/>
        </w:rPr>
        <w:br w:type="page"/>
      </w:r>
    </w:p>
    <w:p>
      <w:pPr>
        <w:pStyle w:val="11"/>
        <w:spacing w:line="360" w:lineRule="auto"/>
        <w:ind w:firstLine="880"/>
        <w:jc w:val="center"/>
        <w:rPr>
          <w:rFonts w:ascii="黑体" w:hAnsi="宋体" w:eastAsia="黑体"/>
          <w:bCs/>
          <w:sz w:val="44"/>
          <w:szCs w:val="44"/>
        </w:rPr>
      </w:pPr>
      <w:r>
        <w:rPr>
          <w:rFonts w:hint="eastAsia" w:ascii="黑体" w:hAnsi="宋体" w:eastAsia="黑体"/>
          <w:bCs/>
          <w:sz w:val="44"/>
          <w:szCs w:val="44"/>
        </w:rPr>
        <w:t>嘉兴市中心城区1-91单元控制性详细规划</w:t>
      </w:r>
    </w:p>
    <w:p>
      <w:pPr>
        <w:pStyle w:val="11"/>
        <w:spacing w:line="360" w:lineRule="auto"/>
        <w:ind w:firstLine="880"/>
        <w:jc w:val="center"/>
        <w:rPr>
          <w:rFonts w:ascii="黑体" w:hAnsi="宋体" w:eastAsia="黑体"/>
          <w:bCs/>
          <w:sz w:val="44"/>
          <w:szCs w:val="44"/>
        </w:rPr>
      </w:pPr>
      <w:r>
        <w:rPr>
          <w:rFonts w:hint="eastAsia" w:ascii="黑体" w:hAnsi="宋体" w:eastAsia="黑体"/>
          <w:bCs/>
          <w:sz w:val="44"/>
          <w:szCs w:val="44"/>
        </w:rPr>
        <w:t>批前公告</w:t>
      </w:r>
    </w:p>
    <w:p>
      <w:pPr>
        <w:adjustRightInd w:val="0"/>
        <w:snapToGrid w:val="0"/>
        <w:spacing w:line="360" w:lineRule="auto"/>
        <w:ind w:firstLine="645" w:firstLineChars="0"/>
        <w:rPr>
          <w:rFonts w:ascii="宋体" w:hAnsi="宋体"/>
          <w:sz w:val="24"/>
        </w:rPr>
      </w:pPr>
    </w:p>
    <w:p>
      <w:pPr>
        <w:adjustRightInd w:val="0"/>
        <w:snapToGrid w:val="0"/>
        <w:spacing w:line="360" w:lineRule="auto"/>
        <w:ind w:firstLine="480"/>
        <w:rPr>
          <w:rFonts w:ascii="宋体" w:hAnsi="宋体"/>
          <w:sz w:val="24"/>
        </w:rPr>
      </w:pPr>
      <w:r>
        <w:rPr>
          <w:rFonts w:hint="eastAsia" w:ascii="宋体" w:hAnsi="宋体"/>
          <w:sz w:val="24"/>
        </w:rPr>
        <w:t>为进一步优化城市规划，科学指导城市建设，根据《中华人民共和国城乡规划法》和《浙江省城乡规划条例》有关条文的规定，我局组织开展了《嘉兴市中心城区1-91单元控制性详细规划》的编制工作。为广泛征求社会各界和广大市民的意见和建议，集思广益，在规划报送审批之前，我局将规划草案予以公告，公告时间为2022年8月26日至2022年9月25日，共计30天。在此期间，欢迎广大市民提出宝贵意见和建议，并以书面形式反馈，便于我局汇总和整理。</w:t>
      </w:r>
    </w:p>
    <w:p>
      <w:pPr>
        <w:adjustRightInd w:val="0"/>
        <w:snapToGrid w:val="0"/>
        <w:spacing w:line="360" w:lineRule="auto"/>
        <w:ind w:firstLine="420"/>
        <w:rPr>
          <w:rFonts w:ascii="宋体" w:hAnsi="宋体"/>
        </w:rPr>
      </w:pPr>
    </w:p>
    <w:p>
      <w:pPr>
        <w:adjustRightInd w:val="0"/>
        <w:snapToGrid w:val="0"/>
        <w:spacing w:line="360" w:lineRule="auto"/>
        <w:ind w:firstLine="316" w:firstLineChars="132"/>
        <w:rPr>
          <w:rFonts w:ascii="宋体" w:hAnsi="宋体"/>
          <w:sz w:val="24"/>
        </w:rPr>
      </w:pPr>
      <w:r>
        <w:rPr>
          <w:rFonts w:hint="eastAsia" w:ascii="宋体" w:hAnsi="宋体"/>
          <w:sz w:val="24"/>
        </w:rPr>
        <w:t xml:space="preserve">邮箱：jxsghfmc@163.com 联系电话：0573-83604348    </w:t>
      </w:r>
    </w:p>
    <w:p>
      <w:pPr>
        <w:adjustRightInd w:val="0"/>
        <w:snapToGrid w:val="0"/>
        <w:spacing w:line="360" w:lineRule="auto"/>
        <w:ind w:firstLine="316" w:firstLineChars="132"/>
        <w:rPr>
          <w:rFonts w:ascii="宋体" w:hAnsi="宋体"/>
          <w:sz w:val="24"/>
        </w:rPr>
      </w:pPr>
      <w:r>
        <w:rPr>
          <w:rFonts w:hint="eastAsia" w:ascii="宋体" w:hAnsi="宋体"/>
          <w:sz w:val="24"/>
        </w:rPr>
        <w:t>通讯地址：嘉兴市洪兴路253号       邮编:314050</w:t>
      </w:r>
    </w:p>
    <w:p>
      <w:pPr>
        <w:spacing w:line="480" w:lineRule="auto"/>
        <w:ind w:firstLine="482"/>
        <w:outlineLvl w:val="0"/>
        <w:rPr>
          <w:rStyle w:val="30"/>
          <w:sz w:val="24"/>
        </w:rPr>
      </w:pPr>
    </w:p>
    <w:p>
      <w:pPr>
        <w:spacing w:line="480" w:lineRule="auto"/>
        <w:ind w:firstLine="0" w:firstLineChars="0"/>
        <w:outlineLvl w:val="0"/>
        <w:rPr>
          <w:rStyle w:val="30"/>
          <w:sz w:val="24"/>
        </w:rPr>
      </w:pPr>
    </w:p>
    <w:p>
      <w:pPr>
        <w:adjustRightInd w:val="0"/>
        <w:snapToGrid w:val="0"/>
        <w:spacing w:line="360" w:lineRule="auto"/>
        <w:ind w:firstLine="480"/>
        <w:jc w:val="right"/>
        <w:rPr>
          <w:rFonts w:ascii="宋体" w:hAnsi="宋体"/>
          <w:sz w:val="24"/>
        </w:rPr>
      </w:pPr>
      <w:r>
        <w:rPr>
          <w:rFonts w:hint="eastAsia" w:ascii="宋体" w:hAnsi="宋体"/>
          <w:sz w:val="24"/>
        </w:rPr>
        <w:t>嘉兴市自然资源和规划局</w:t>
      </w:r>
    </w:p>
    <w:p>
      <w:pPr>
        <w:adjustRightInd w:val="0"/>
        <w:snapToGrid w:val="0"/>
        <w:spacing w:line="360" w:lineRule="auto"/>
        <w:ind w:right="480" w:firstLine="480"/>
        <w:jc w:val="right"/>
        <w:rPr>
          <w:rFonts w:ascii="宋体" w:hAnsi="宋体"/>
          <w:sz w:val="24"/>
        </w:rPr>
      </w:pPr>
      <w:r>
        <w:rPr>
          <w:rFonts w:hint="eastAsia" w:ascii="宋体" w:hAnsi="宋体"/>
          <w:sz w:val="24"/>
        </w:rPr>
        <w:t>2022年8月26日</w:t>
      </w:r>
    </w:p>
    <w:p>
      <w:pPr>
        <w:spacing w:line="480" w:lineRule="auto"/>
        <w:ind w:firstLine="482"/>
        <w:outlineLvl w:val="0"/>
        <w:rPr>
          <w:rStyle w:val="30"/>
          <w:sz w:val="24"/>
        </w:rPr>
      </w:pPr>
    </w:p>
    <w:p>
      <w:pPr>
        <w:adjustRightInd w:val="0"/>
        <w:snapToGrid w:val="0"/>
        <w:spacing w:line="360" w:lineRule="auto"/>
        <w:ind w:firstLine="0" w:firstLineChars="0"/>
        <w:rPr>
          <w:rFonts w:ascii="黑体"/>
          <w:sz w:val="32"/>
        </w:rPr>
      </w:pPr>
      <w:r>
        <w:rPr>
          <w:rFonts w:ascii="黑体"/>
          <w:sz w:val="32"/>
        </w:rPr>
        <w:br w:type="page"/>
      </w:r>
      <w:r>
        <w:rPr>
          <w:rFonts w:hint="eastAsia" w:ascii="黑体"/>
          <w:sz w:val="32"/>
        </w:rPr>
        <w:t>一、规划范围</w:t>
      </w:r>
    </w:p>
    <w:p>
      <w:pPr>
        <w:adjustRightInd w:val="0"/>
        <w:snapToGrid w:val="0"/>
        <w:spacing w:line="360" w:lineRule="auto"/>
        <w:ind w:firstLine="600" w:firstLineChars="250"/>
        <w:rPr>
          <w:rFonts w:ascii="宋体" w:hAnsi="宋体"/>
          <w:sz w:val="24"/>
        </w:rPr>
      </w:pPr>
      <w:r>
        <w:rPr>
          <w:rFonts w:hint="eastAsia" w:ascii="宋体" w:hAnsi="宋体"/>
          <w:sz w:val="24"/>
        </w:rPr>
        <w:t>本单元东至沪杭铁路、西至规划长浜路、南至乍嘉苏高速公路、北至三环南路，用地面积约1.50平方公里。</w:t>
      </w:r>
    </w:p>
    <w:p>
      <w:pPr>
        <w:adjustRightInd w:val="0"/>
        <w:snapToGrid w:val="0"/>
        <w:spacing w:line="360" w:lineRule="auto"/>
        <w:ind w:firstLineChars="0"/>
        <w:rPr>
          <w:rFonts w:ascii="黑体"/>
          <w:sz w:val="32"/>
        </w:rPr>
      </w:pPr>
      <w:r>
        <w:rPr>
          <w:rFonts w:hint="eastAsia" w:ascii="黑体"/>
          <w:sz w:val="32"/>
        </w:rPr>
        <w:t>二、用地布局</w:t>
      </w:r>
    </w:p>
    <w:p>
      <w:pPr>
        <w:adjustRightInd w:val="0"/>
        <w:snapToGrid w:val="0"/>
        <w:spacing w:line="360" w:lineRule="auto"/>
        <w:ind w:firstLine="600" w:firstLineChars="250"/>
        <w:rPr>
          <w:rFonts w:ascii="宋体" w:hAnsi="宋体"/>
          <w:sz w:val="24"/>
        </w:rPr>
      </w:pPr>
      <w:r>
        <w:rPr>
          <w:rFonts w:hint="eastAsia" w:ascii="宋体" w:hAnsi="宋体"/>
          <w:sz w:val="24"/>
        </w:rPr>
        <w:t>本单元总用地面积149.73公顷，其中规划城市建设用地</w:t>
      </w:r>
      <w:r>
        <w:rPr>
          <w:rFonts w:ascii="宋体" w:hAnsi="宋体"/>
          <w:sz w:val="24"/>
        </w:rPr>
        <w:t>22.49</w:t>
      </w:r>
      <w:r>
        <w:rPr>
          <w:rFonts w:hint="eastAsia" w:ascii="宋体" w:hAnsi="宋体"/>
          <w:sz w:val="24"/>
        </w:rPr>
        <w:t>公顷，水域28.</w:t>
      </w:r>
      <w:r>
        <w:rPr>
          <w:rFonts w:ascii="宋体" w:hAnsi="宋体"/>
          <w:sz w:val="24"/>
        </w:rPr>
        <w:t>61</w:t>
      </w:r>
      <w:r>
        <w:rPr>
          <w:rFonts w:hint="eastAsia" w:ascii="宋体" w:hAnsi="宋体"/>
          <w:sz w:val="24"/>
        </w:rPr>
        <w:t>公顷,农林用地</w:t>
      </w:r>
      <w:r>
        <w:rPr>
          <w:rFonts w:ascii="宋体" w:hAnsi="宋体"/>
          <w:sz w:val="24"/>
        </w:rPr>
        <w:t>92.22</w:t>
      </w:r>
      <w:r>
        <w:rPr>
          <w:rFonts w:hint="eastAsia" w:ascii="宋体" w:hAnsi="宋体"/>
          <w:sz w:val="24"/>
        </w:rPr>
        <w:t>公顷、区域交通设施用地6.41公顷。各类城市建设用地的分类详见《规划城市建设用地汇总表》。</w:t>
      </w:r>
    </w:p>
    <w:p>
      <w:pPr>
        <w:adjustRightInd w:val="0"/>
        <w:snapToGrid w:val="0"/>
        <w:spacing w:line="360" w:lineRule="auto"/>
        <w:ind w:firstLineChars="0"/>
        <w:rPr>
          <w:rFonts w:ascii="黑体"/>
          <w:sz w:val="32"/>
        </w:rPr>
      </w:pPr>
      <w:r>
        <w:rPr>
          <w:rFonts w:hint="eastAsia" w:ascii="黑体"/>
          <w:bCs/>
          <w:sz w:val="32"/>
        </w:rPr>
        <w:t>三、道路交通规划</w:t>
      </w:r>
    </w:p>
    <w:p>
      <w:pPr>
        <w:adjustRightInd w:val="0"/>
        <w:snapToGrid w:val="0"/>
        <w:spacing w:line="360" w:lineRule="auto"/>
        <w:ind w:firstLine="600" w:firstLineChars="250"/>
        <w:rPr>
          <w:rFonts w:ascii="宋体" w:hAnsi="宋体"/>
          <w:sz w:val="24"/>
        </w:rPr>
      </w:pPr>
      <w:r>
        <w:rPr>
          <w:rFonts w:hint="eastAsia" w:ascii="宋体" w:hAnsi="宋体"/>
          <w:sz w:val="24"/>
        </w:rPr>
        <w:t>本单元区域交通设施由铁路、高速公路组成；城市道路由主干路、支路组成。</w:t>
      </w:r>
    </w:p>
    <w:p>
      <w:pPr>
        <w:adjustRightInd w:val="0"/>
        <w:snapToGrid w:val="0"/>
        <w:spacing w:line="360" w:lineRule="auto"/>
        <w:ind w:firstLine="600" w:firstLineChars="250"/>
        <w:rPr>
          <w:rFonts w:ascii="宋体" w:hAnsi="宋体"/>
          <w:sz w:val="24"/>
        </w:rPr>
      </w:pPr>
      <w:r>
        <w:rPr>
          <w:rFonts w:hint="eastAsia" w:ascii="宋体" w:hAnsi="宋体"/>
          <w:sz w:val="24"/>
        </w:rPr>
        <w:t>铁路：沪杭铁路线。</w:t>
      </w:r>
    </w:p>
    <w:p>
      <w:pPr>
        <w:adjustRightInd w:val="0"/>
        <w:snapToGrid w:val="0"/>
        <w:spacing w:line="360" w:lineRule="auto"/>
        <w:ind w:firstLine="600" w:firstLineChars="250"/>
        <w:rPr>
          <w:rFonts w:ascii="宋体" w:hAnsi="宋体"/>
          <w:sz w:val="24"/>
        </w:rPr>
      </w:pPr>
      <w:r>
        <w:rPr>
          <w:rFonts w:hint="eastAsia" w:ascii="宋体" w:hAnsi="宋体"/>
          <w:sz w:val="24"/>
        </w:rPr>
        <w:t>高速公路：乍嘉苏高速公路。</w:t>
      </w:r>
    </w:p>
    <w:p>
      <w:pPr>
        <w:adjustRightInd w:val="0"/>
        <w:snapToGrid w:val="0"/>
        <w:spacing w:line="360" w:lineRule="auto"/>
        <w:ind w:firstLine="600" w:firstLineChars="250"/>
        <w:rPr>
          <w:rFonts w:ascii="宋体" w:hAnsi="宋体"/>
          <w:sz w:val="24"/>
        </w:rPr>
      </w:pPr>
      <w:r>
        <w:rPr>
          <w:rFonts w:ascii="宋体" w:hAnsi="宋体"/>
          <w:sz w:val="24"/>
        </w:rPr>
        <w:t>主干路</w:t>
      </w:r>
      <w:r>
        <w:rPr>
          <w:rFonts w:hint="eastAsia" w:ascii="宋体" w:hAnsi="宋体"/>
          <w:sz w:val="24"/>
        </w:rPr>
        <w:t>：三环南路、长浜路</w:t>
      </w:r>
      <w:r>
        <w:rPr>
          <w:rFonts w:ascii="宋体" w:hAnsi="宋体"/>
          <w:sz w:val="24"/>
        </w:rPr>
        <w:t>。</w:t>
      </w:r>
    </w:p>
    <w:p>
      <w:pPr>
        <w:adjustRightInd w:val="0"/>
        <w:snapToGrid w:val="0"/>
        <w:spacing w:line="360" w:lineRule="auto"/>
        <w:ind w:firstLine="600" w:firstLineChars="250"/>
        <w:rPr>
          <w:rFonts w:ascii="宋体" w:hAnsi="宋体"/>
          <w:sz w:val="24"/>
        </w:rPr>
      </w:pPr>
      <w:r>
        <w:rPr>
          <w:rFonts w:ascii="宋体" w:hAnsi="宋体"/>
          <w:sz w:val="24"/>
        </w:rPr>
        <w:t>支路</w:t>
      </w:r>
      <w:r>
        <w:rPr>
          <w:rFonts w:hint="eastAsia" w:ascii="宋体" w:hAnsi="宋体"/>
          <w:sz w:val="24"/>
        </w:rPr>
        <w:t>：规划支路。</w:t>
      </w:r>
    </w:p>
    <w:p>
      <w:pPr>
        <w:adjustRightInd w:val="0"/>
        <w:snapToGrid w:val="0"/>
        <w:spacing w:line="360" w:lineRule="auto"/>
        <w:ind w:firstLineChars="0"/>
        <w:rPr>
          <w:rFonts w:ascii="黑体"/>
          <w:sz w:val="32"/>
        </w:rPr>
      </w:pPr>
      <w:r>
        <w:rPr>
          <w:rFonts w:hint="eastAsia" w:ascii="黑体"/>
          <w:sz w:val="32"/>
        </w:rPr>
        <w:t>四、公共配套服务设施规划</w:t>
      </w:r>
      <w:bookmarkStart w:id="0" w:name="_Toc290211734"/>
    </w:p>
    <w:bookmarkEnd w:id="0"/>
    <w:p>
      <w:pPr>
        <w:widowControl/>
        <w:ind w:firstLine="480"/>
        <w:jc w:val="left"/>
        <w:rPr>
          <w:rFonts w:ascii="宋体" w:hAnsi="宋体"/>
          <w:sz w:val="24"/>
        </w:rPr>
      </w:pPr>
      <w:r>
        <w:rPr>
          <w:rFonts w:hint="eastAsia" w:ascii="宋体" w:hAnsi="宋体"/>
          <w:sz w:val="24"/>
        </w:rPr>
        <w:t>1.市政公用设施。</w:t>
      </w:r>
    </w:p>
    <w:p>
      <w:pPr>
        <w:widowControl/>
        <w:ind w:firstLine="480"/>
        <w:jc w:val="left"/>
        <w:rPr>
          <w:rFonts w:ascii="宋体" w:hAnsi="宋体" w:cs="宋体"/>
          <w:color w:val="000000"/>
          <w:kern w:val="0"/>
          <w:sz w:val="24"/>
        </w:rPr>
      </w:pPr>
      <w:r>
        <w:rPr>
          <w:rFonts w:hint="eastAsia" w:ascii="宋体" w:hAnsi="宋体"/>
          <w:sz w:val="24"/>
        </w:rPr>
        <w:t>通信基站：本单元规划新增3处地面通信基站；燃气站：</w:t>
      </w:r>
      <w:r>
        <w:rPr>
          <w:rFonts w:hint="eastAsia" w:ascii="宋体" w:hAnsi="宋体" w:cs="宋体"/>
          <w:color w:val="000000"/>
          <w:kern w:val="0"/>
          <w:sz w:val="24"/>
        </w:rPr>
        <w:t>规划保留天然气南郊门站，同时在南郊门站用地内新增</w:t>
      </w:r>
      <w:r>
        <w:rPr>
          <w:color w:val="000000"/>
          <w:kern w:val="0"/>
          <w:sz w:val="24"/>
        </w:rPr>
        <w:t>CNG</w:t>
      </w:r>
      <w:r>
        <w:rPr>
          <w:rFonts w:hint="eastAsia" w:ascii="宋体" w:hAnsi="宋体" w:cs="宋体"/>
          <w:color w:val="000000"/>
          <w:kern w:val="0"/>
          <w:sz w:val="24"/>
        </w:rPr>
        <w:t>调压站； 净水设施：规划新增一处九水净化设施。</w:t>
      </w:r>
    </w:p>
    <w:p>
      <w:pPr>
        <w:widowControl/>
        <w:ind w:firstLine="480"/>
        <w:jc w:val="left"/>
        <w:rPr>
          <w:rFonts w:ascii="宋体" w:hAnsi="宋体" w:cs="宋体"/>
          <w:color w:val="000000"/>
          <w:kern w:val="0"/>
          <w:sz w:val="24"/>
        </w:rPr>
      </w:pPr>
    </w:p>
    <w:p>
      <w:pPr>
        <w:widowControl/>
        <w:ind w:firstLine="480"/>
        <w:jc w:val="left"/>
        <w:rPr>
          <w:rFonts w:ascii="宋体" w:hAnsi="宋体" w:cs="宋体"/>
          <w:color w:val="000000"/>
          <w:kern w:val="0"/>
          <w:sz w:val="24"/>
        </w:rPr>
      </w:pPr>
    </w:p>
    <w:p>
      <w:pPr>
        <w:adjustRightInd w:val="0"/>
        <w:snapToGrid w:val="0"/>
        <w:spacing w:line="360" w:lineRule="auto"/>
        <w:ind w:firstLine="0" w:firstLineChars="0"/>
        <w:rPr>
          <w:rFonts w:ascii="黑体"/>
          <w:sz w:val="32"/>
        </w:rPr>
      </w:pPr>
      <w:r>
        <w:rPr>
          <w:rFonts w:hint="eastAsia" w:ascii="黑体"/>
          <w:sz w:val="32"/>
        </w:rPr>
        <w:t>五、规划城市建设用地汇总表</w:t>
      </w:r>
    </w:p>
    <w:tbl>
      <w:tblPr>
        <w:tblStyle w:val="22"/>
        <w:tblW w:w="13757" w:type="dxa"/>
        <w:jc w:val="center"/>
        <w:tblLayout w:type="autofit"/>
        <w:tblCellMar>
          <w:top w:w="0" w:type="dxa"/>
          <w:left w:w="108" w:type="dxa"/>
          <w:bottom w:w="0" w:type="dxa"/>
          <w:right w:w="108" w:type="dxa"/>
        </w:tblCellMar>
      </w:tblPr>
      <w:tblGrid>
        <w:gridCol w:w="1912"/>
        <w:gridCol w:w="1559"/>
        <w:gridCol w:w="2294"/>
        <w:gridCol w:w="3011"/>
        <w:gridCol w:w="1912"/>
        <w:gridCol w:w="3069"/>
      </w:tblGrid>
      <w:tr>
        <w:tblPrEx>
          <w:tblCellMar>
            <w:top w:w="0" w:type="dxa"/>
            <w:left w:w="108" w:type="dxa"/>
            <w:bottom w:w="0" w:type="dxa"/>
            <w:right w:w="108" w:type="dxa"/>
          </w:tblCellMar>
        </w:tblPrEx>
        <w:trPr>
          <w:trHeight w:val="6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b/>
                <w:bCs/>
                <w:color w:val="000000"/>
                <w:kern w:val="0"/>
                <w:sz w:val="20"/>
                <w:szCs w:val="18"/>
              </w:rPr>
              <w:t>用地代号</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0"/>
                <w:szCs w:val="18"/>
              </w:rPr>
            </w:pPr>
            <w:r>
              <w:rPr>
                <w:rFonts w:hint="eastAsia" w:ascii="宋体" w:hAnsi="宋体" w:cs="宋体"/>
                <w:b/>
                <w:bCs/>
                <w:color w:val="000000"/>
                <w:kern w:val="0"/>
                <w:sz w:val="20"/>
                <w:szCs w:val="18"/>
              </w:rPr>
              <w:t>类别名称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0"/>
                <w:szCs w:val="18"/>
              </w:rPr>
            </w:pPr>
            <w:r>
              <w:rPr>
                <w:rFonts w:hint="eastAsia" w:ascii="宋体" w:hAnsi="宋体" w:cs="宋体"/>
                <w:b/>
                <w:bCs/>
                <w:color w:val="000000"/>
                <w:kern w:val="0"/>
                <w:sz w:val="20"/>
                <w:szCs w:val="18"/>
              </w:rPr>
              <w:t>用地面积（万m</w:t>
            </w:r>
            <w:r>
              <w:rPr>
                <w:rFonts w:hint="eastAsia" w:ascii="宋体" w:hAnsi="宋体" w:cs="宋体"/>
                <w:b/>
                <w:bCs/>
                <w:color w:val="000000"/>
                <w:kern w:val="0"/>
                <w:sz w:val="20"/>
                <w:szCs w:val="18"/>
                <w:vertAlign w:val="superscript"/>
              </w:rPr>
              <w:t>2</w:t>
            </w:r>
            <w:r>
              <w:rPr>
                <w:rFonts w:hint="eastAsia" w:ascii="宋体" w:hAnsi="宋体" w:cs="宋体"/>
                <w:b/>
                <w:bCs/>
                <w:color w:val="000000"/>
                <w:kern w:val="0"/>
                <w:sz w:val="20"/>
                <w:szCs w:val="18"/>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0"/>
                <w:szCs w:val="18"/>
              </w:rPr>
            </w:pPr>
            <w:r>
              <w:rPr>
                <w:rFonts w:hint="eastAsia" w:ascii="宋体" w:hAnsi="宋体" w:cs="宋体"/>
                <w:b/>
                <w:bCs/>
                <w:color w:val="000000"/>
                <w:kern w:val="0"/>
                <w:sz w:val="20"/>
                <w:szCs w:val="18"/>
              </w:rPr>
              <w:t>占规划城市建设用地比例（%）</w:t>
            </w:r>
          </w:p>
        </w:tc>
      </w:tr>
      <w:tr>
        <w:tblPrEx>
          <w:tblCellMar>
            <w:top w:w="0" w:type="dxa"/>
            <w:left w:w="108" w:type="dxa"/>
            <w:bottom w:w="0" w:type="dxa"/>
            <w:right w:w="108" w:type="dxa"/>
          </w:tblCellMar>
        </w:tblPrEx>
        <w:trPr>
          <w:trHeight w:val="219" w:hRule="atLeast"/>
          <w:jc w:val="center"/>
        </w:trPr>
        <w:tc>
          <w:tcPr>
            <w:tcW w:w="1912"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H1</w:t>
            </w:r>
          </w:p>
        </w:tc>
        <w:tc>
          <w:tcPr>
            <w:tcW w:w="3853" w:type="dxa"/>
            <w:gridSpan w:val="2"/>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S</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b/>
                <w:bCs/>
                <w:color w:val="000000"/>
                <w:kern w:val="0"/>
                <w:szCs w:val="21"/>
              </w:rPr>
              <w:t>道路与交通设施用地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27</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ascii="宋体" w:hAnsi="宋体" w:cs="宋体"/>
                <w:color w:val="000000"/>
                <w:kern w:val="0"/>
                <w:szCs w:val="21"/>
              </w:rPr>
              <w:t>23.43</w:t>
            </w: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404" w:hRule="atLeast"/>
          <w:jc w:val="center"/>
        </w:trPr>
        <w:tc>
          <w:tcPr>
            <w:tcW w:w="1912" w:type="dxa"/>
            <w:vMerge w:val="continue"/>
            <w:tcBorders>
              <w:left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其中</w:t>
            </w:r>
          </w:p>
        </w:tc>
        <w:tc>
          <w:tcPr>
            <w:tcW w:w="0" w:type="auto"/>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S1</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城市道路用地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27</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r>
        <w:tblPrEx>
          <w:tblCellMar>
            <w:top w:w="0" w:type="dxa"/>
            <w:left w:w="108" w:type="dxa"/>
            <w:bottom w:w="0" w:type="dxa"/>
            <w:right w:w="108" w:type="dxa"/>
          </w:tblCellMar>
        </w:tblPrEx>
        <w:trPr>
          <w:trHeight w:val="404" w:hRule="atLeast"/>
          <w:jc w:val="center"/>
        </w:trPr>
        <w:tc>
          <w:tcPr>
            <w:tcW w:w="1912" w:type="dxa"/>
            <w:vMerge w:val="continue"/>
            <w:tcBorders>
              <w:left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3853" w:type="dxa"/>
            <w:gridSpan w:val="2"/>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G</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绿地与广场用地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1.67</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1.89</w:t>
            </w: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404" w:hRule="atLeast"/>
          <w:jc w:val="center"/>
        </w:trPr>
        <w:tc>
          <w:tcPr>
            <w:tcW w:w="1912" w:type="dxa"/>
            <w:vMerge w:val="continue"/>
            <w:tcBorders>
              <w:left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其中</w:t>
            </w:r>
          </w:p>
        </w:tc>
        <w:tc>
          <w:tcPr>
            <w:tcW w:w="0" w:type="auto"/>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G</w:t>
            </w:r>
            <w:r>
              <w:rPr>
                <w:rFonts w:ascii="宋体" w:hAnsi="宋体" w:cs="宋体"/>
                <w:color w:val="000000"/>
                <w:kern w:val="0"/>
                <w:szCs w:val="21"/>
              </w:rPr>
              <w:t>1</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公园绿地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1.67</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r>
        <w:tblPrEx>
          <w:tblCellMar>
            <w:top w:w="0" w:type="dxa"/>
            <w:left w:w="108" w:type="dxa"/>
            <w:bottom w:w="0" w:type="dxa"/>
            <w:right w:w="108" w:type="dxa"/>
          </w:tblCellMar>
        </w:tblPrEx>
        <w:trPr>
          <w:trHeight w:val="219" w:hRule="atLeast"/>
          <w:jc w:val="center"/>
        </w:trPr>
        <w:tc>
          <w:tcPr>
            <w:tcW w:w="1912" w:type="dxa"/>
            <w:vMerge w:val="continue"/>
            <w:tcBorders>
              <w:left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3853" w:type="dxa"/>
            <w:gridSpan w:val="2"/>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U</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b/>
                <w:bCs/>
                <w:color w:val="000000"/>
                <w:kern w:val="0"/>
                <w:szCs w:val="21"/>
              </w:rPr>
              <w:t>公用设施用地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5.55</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ascii="宋体" w:hAnsi="宋体" w:cs="宋体"/>
                <w:color w:val="000000"/>
                <w:kern w:val="0"/>
                <w:szCs w:val="21"/>
              </w:rPr>
              <w:t>24.68</w:t>
            </w: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19" w:hRule="atLeast"/>
          <w:jc w:val="center"/>
        </w:trPr>
        <w:tc>
          <w:tcPr>
            <w:tcW w:w="1912" w:type="dxa"/>
            <w:vMerge w:val="continue"/>
            <w:tcBorders>
              <w:left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其中</w:t>
            </w:r>
          </w:p>
        </w:tc>
        <w:tc>
          <w:tcPr>
            <w:tcW w:w="0" w:type="auto"/>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U13</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供燃气用地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4.54</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r>
        <w:tblPrEx>
          <w:tblCellMar>
            <w:top w:w="0" w:type="dxa"/>
            <w:left w:w="108" w:type="dxa"/>
            <w:bottom w:w="0" w:type="dxa"/>
            <w:right w:w="108" w:type="dxa"/>
          </w:tblCellMar>
        </w:tblPrEx>
        <w:trPr>
          <w:trHeight w:val="404" w:hRule="atLeast"/>
          <w:jc w:val="center"/>
        </w:trPr>
        <w:tc>
          <w:tcPr>
            <w:tcW w:w="1912" w:type="dxa"/>
            <w:vMerge w:val="continue"/>
            <w:tcBorders>
              <w:left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U2</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环境设施用地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1.01</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r>
        <w:tblPrEx>
          <w:tblCellMar>
            <w:top w:w="0" w:type="dxa"/>
            <w:left w:w="108" w:type="dxa"/>
            <w:bottom w:w="0" w:type="dxa"/>
            <w:right w:w="108" w:type="dxa"/>
          </w:tblCellMar>
        </w:tblPrEx>
        <w:trPr>
          <w:trHeight w:val="404" w:hRule="atLeast"/>
          <w:jc w:val="center"/>
        </w:trPr>
        <w:tc>
          <w:tcPr>
            <w:tcW w:w="1912" w:type="dxa"/>
            <w:vMerge w:val="continue"/>
            <w:tcBorders>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p>
        </w:tc>
        <w:tc>
          <w:tcPr>
            <w:tcW w:w="6864"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Cs w:val="21"/>
              </w:rPr>
            </w:pPr>
            <w:r>
              <w:rPr>
                <w:rFonts w:hint="eastAsia" w:ascii="宋体" w:hAnsi="宋体" w:cs="宋体"/>
                <w:b/>
                <w:bCs/>
                <w:color w:val="000000"/>
                <w:kern w:val="0"/>
                <w:szCs w:val="21"/>
              </w:rPr>
              <w:t>城市建设用地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ascii="宋体" w:hAnsi="宋体" w:cs="宋体"/>
                <w:color w:val="000000"/>
                <w:kern w:val="0"/>
                <w:szCs w:val="21"/>
              </w:rPr>
              <w:t>22.49</w:t>
            </w:r>
          </w:p>
        </w:tc>
        <w:tc>
          <w:tcPr>
            <w:tcW w:w="3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100.00%</w:t>
            </w:r>
          </w:p>
        </w:tc>
      </w:tr>
      <w:tr>
        <w:tblPrEx>
          <w:tblCellMar>
            <w:top w:w="0" w:type="dxa"/>
            <w:left w:w="108" w:type="dxa"/>
            <w:bottom w:w="0" w:type="dxa"/>
            <w:right w:w="108" w:type="dxa"/>
          </w:tblCellMar>
        </w:tblPrEx>
        <w:trPr>
          <w:trHeight w:val="219" w:hRule="atLeast"/>
          <w:jc w:val="center"/>
        </w:trPr>
        <w:tc>
          <w:tcPr>
            <w:tcW w:w="5765"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H2</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区域交通设施用地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6.41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r>
        <w:tblPrEx>
          <w:tblCellMar>
            <w:top w:w="0" w:type="dxa"/>
            <w:left w:w="108" w:type="dxa"/>
            <w:bottom w:w="0" w:type="dxa"/>
            <w:right w:w="108" w:type="dxa"/>
          </w:tblCellMar>
        </w:tblPrEx>
        <w:trPr>
          <w:trHeight w:val="219" w:hRule="atLeast"/>
          <w:jc w:val="center"/>
        </w:trPr>
        <w:tc>
          <w:tcPr>
            <w:tcW w:w="5765"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E1</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水域</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28.</w:t>
            </w:r>
            <w:r>
              <w:rPr>
                <w:rFonts w:ascii="宋体" w:hAnsi="宋体" w:cs="宋体"/>
                <w:color w:val="000000"/>
                <w:kern w:val="0"/>
                <w:szCs w:val="21"/>
              </w:rPr>
              <w:t>61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r>
        <w:tblPrEx>
          <w:tblCellMar>
            <w:top w:w="0" w:type="dxa"/>
            <w:left w:w="108" w:type="dxa"/>
            <w:bottom w:w="0" w:type="dxa"/>
            <w:right w:w="108" w:type="dxa"/>
          </w:tblCellMar>
        </w:tblPrEx>
        <w:trPr>
          <w:trHeight w:val="219" w:hRule="atLeast"/>
          <w:jc w:val="center"/>
        </w:trPr>
        <w:tc>
          <w:tcPr>
            <w:tcW w:w="5765"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E2</w:t>
            </w:r>
          </w:p>
        </w:tc>
        <w:tc>
          <w:tcPr>
            <w:tcW w:w="30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农林用地</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ascii="宋体" w:hAnsi="宋体" w:cs="宋体"/>
                <w:color w:val="000000"/>
                <w:kern w:val="0"/>
                <w:szCs w:val="21"/>
              </w:rPr>
              <w:t>92.22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r>
        <w:tblPrEx>
          <w:tblCellMar>
            <w:top w:w="0" w:type="dxa"/>
            <w:left w:w="108" w:type="dxa"/>
            <w:bottom w:w="0" w:type="dxa"/>
            <w:right w:w="108" w:type="dxa"/>
          </w:tblCellMar>
        </w:tblPrEx>
        <w:trPr>
          <w:trHeight w:val="219" w:hRule="atLeast"/>
          <w:jc w:val="center"/>
        </w:trPr>
        <w:tc>
          <w:tcPr>
            <w:tcW w:w="8776" w:type="dxa"/>
            <w:gridSpan w:val="4"/>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b/>
                <w:bCs/>
                <w:color w:val="000000"/>
                <w:kern w:val="0"/>
                <w:szCs w:val="21"/>
              </w:rPr>
            </w:pPr>
            <w:r>
              <w:rPr>
                <w:rFonts w:hint="eastAsia" w:ascii="宋体" w:hAnsi="宋体" w:cs="宋体"/>
                <w:b/>
                <w:bCs/>
                <w:color w:val="000000"/>
                <w:kern w:val="0"/>
                <w:szCs w:val="21"/>
              </w:rPr>
              <w:t>合计</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r>
              <w:rPr>
                <w:rFonts w:hint="eastAsia" w:ascii="宋体" w:hAnsi="宋体" w:cs="宋体"/>
                <w:color w:val="000000"/>
                <w:kern w:val="0"/>
                <w:szCs w:val="21"/>
              </w:rPr>
              <w:t>149.73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Cs w:val="21"/>
              </w:rPr>
            </w:pPr>
          </w:p>
        </w:tc>
      </w:tr>
    </w:tbl>
    <w:p>
      <w:pPr>
        <w:adjustRightInd w:val="0"/>
        <w:snapToGrid w:val="0"/>
        <w:spacing w:line="360" w:lineRule="auto"/>
        <w:ind w:firstLine="0" w:firstLineChars="0"/>
        <w:rPr>
          <w:rFonts w:ascii="黑体"/>
          <w:sz w:val="32"/>
        </w:rPr>
      </w:pPr>
    </w:p>
    <w:p>
      <w:pPr>
        <w:ind w:firstLine="640"/>
        <w:rPr>
          <w:rFonts w:ascii="黑体"/>
          <w:sz w:val="32"/>
        </w:rPr>
      </w:pPr>
      <w:bookmarkStart w:id="1" w:name="_GoBack"/>
      <w:bookmarkEnd w:id="1"/>
      <w:r>
        <w:rPr>
          <w:rFonts w:ascii="黑体"/>
          <w:sz w:val="32"/>
        </w:rPr>
        <w:br w:type="page"/>
      </w:r>
      <w:r>
        <w:rPr>
          <w:rFonts w:hint="eastAsia" w:ascii="黑体"/>
          <w:sz w:val="32"/>
        </w:rPr>
        <w:t>六、土地使用规划图</w:t>
      </w:r>
    </w:p>
    <w:p>
      <w:pPr>
        <w:adjustRightInd w:val="0"/>
        <w:snapToGrid w:val="0"/>
        <w:spacing w:line="360" w:lineRule="auto"/>
        <w:ind w:firstLine="0" w:firstLineChars="0"/>
        <w:rPr>
          <w:rFonts w:ascii="黑体"/>
          <w:sz w:val="32"/>
        </w:rPr>
      </w:pPr>
      <w:r>
        <w:drawing>
          <wp:anchor distT="0" distB="0" distL="114300" distR="114300" simplePos="0" relativeHeight="251659264" behindDoc="1" locked="0" layoutInCell="1" allowOverlap="1">
            <wp:simplePos x="0" y="0"/>
            <wp:positionH relativeFrom="column">
              <wp:posOffset>12065</wp:posOffset>
            </wp:positionH>
            <wp:positionV relativeFrom="paragraph">
              <wp:posOffset>65405</wp:posOffset>
            </wp:positionV>
            <wp:extent cx="7292340" cy="5245735"/>
            <wp:effectExtent l="19050" t="19050" r="22860" b="12065"/>
            <wp:wrapNone/>
            <wp:docPr id="17" name="图片 419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1991"/>
                    <pic:cNvPicPr>
                      <a:picLocks noChangeAspect="true" noChangeArrowheads="true"/>
                    </pic:cNvPicPr>
                  </pic:nvPicPr>
                  <pic:blipFill>
                    <a:blip r:embed="rId12"/>
                    <a:srcRect t="191" b="191"/>
                    <a:stretch>
                      <a:fillRect/>
                    </a:stretch>
                  </pic:blipFill>
                  <pic:spPr>
                    <a:xfrm>
                      <a:off x="0" y="0"/>
                      <a:ext cx="7292340" cy="5245735"/>
                    </a:xfrm>
                    <a:prstGeom prst="rect">
                      <a:avLst/>
                    </a:prstGeom>
                    <a:noFill/>
                    <a:ln w="9525">
                      <a:solidFill>
                        <a:srgbClr val="000000"/>
                      </a:solidFill>
                      <a:miter lim="800000"/>
                      <a:headEnd/>
                      <a:tailEnd/>
                    </a:ln>
                  </pic:spPr>
                </pic:pic>
              </a:graphicData>
            </a:graphic>
          </wp:anchor>
        </w:drawing>
      </w: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rPr>
          <w:rFonts w:ascii="黑体"/>
          <w:sz w:val="32"/>
        </w:rPr>
      </w:pPr>
    </w:p>
    <w:p>
      <w:pPr>
        <w:adjustRightInd w:val="0"/>
        <w:snapToGrid w:val="0"/>
        <w:spacing w:line="360" w:lineRule="auto"/>
        <w:ind w:firstLine="0" w:firstLineChars="0"/>
        <w:jc w:val="center"/>
        <w:rPr>
          <w:rFonts w:ascii="黑体"/>
          <w:sz w:val="32"/>
        </w:rPr>
      </w:pPr>
    </w:p>
    <w:p>
      <w:pPr>
        <w:adjustRightInd w:val="0"/>
        <w:snapToGrid w:val="0"/>
        <w:spacing w:line="360" w:lineRule="auto"/>
        <w:ind w:firstLine="0" w:firstLineChars="0"/>
        <w:jc w:val="center"/>
        <w:rPr>
          <w:rFonts w:ascii="黑体"/>
          <w:sz w:val="32"/>
        </w:rPr>
      </w:pPr>
    </w:p>
    <w:p>
      <w:pPr>
        <w:adjustRightInd w:val="0"/>
        <w:snapToGrid w:val="0"/>
        <w:spacing w:line="360" w:lineRule="auto"/>
        <w:ind w:firstLine="0" w:firstLineChars="0"/>
        <w:rPr>
          <w:rFonts w:ascii="黑体"/>
          <w:sz w:val="32"/>
        </w:rPr>
      </w:pPr>
      <w:r>
        <w:rPr>
          <w:rFonts w:hint="eastAsia" w:ascii="黑体"/>
          <w:sz w:val="32"/>
        </w:rPr>
        <w:t>七、规划控制指标一览表</w:t>
      </w:r>
    </w:p>
    <w:tbl>
      <w:tblPr>
        <w:tblStyle w:val="22"/>
        <w:tblW w:w="13230" w:type="dxa"/>
        <w:tblInd w:w="98" w:type="dxa"/>
        <w:tblLayout w:type="autofit"/>
        <w:tblCellMar>
          <w:top w:w="0" w:type="dxa"/>
          <w:left w:w="108" w:type="dxa"/>
          <w:bottom w:w="0" w:type="dxa"/>
          <w:right w:w="108" w:type="dxa"/>
        </w:tblCellMar>
      </w:tblPr>
      <w:tblGrid>
        <w:gridCol w:w="1434"/>
        <w:gridCol w:w="1236"/>
        <w:gridCol w:w="960"/>
        <w:gridCol w:w="960"/>
        <w:gridCol w:w="960"/>
        <w:gridCol w:w="960"/>
        <w:gridCol w:w="960"/>
        <w:gridCol w:w="960"/>
        <w:gridCol w:w="960"/>
        <w:gridCol w:w="960"/>
        <w:gridCol w:w="960"/>
        <w:gridCol w:w="960"/>
        <w:gridCol w:w="960"/>
      </w:tblGrid>
      <w:tr>
        <w:tblPrEx>
          <w:tblCellMar>
            <w:top w:w="0" w:type="dxa"/>
            <w:left w:w="108" w:type="dxa"/>
            <w:bottom w:w="0" w:type="dxa"/>
            <w:right w:w="108" w:type="dxa"/>
          </w:tblCellMar>
        </w:tblPrEx>
        <w:trPr>
          <w:trHeight w:val="285" w:hRule="atLeast"/>
        </w:trPr>
        <w:tc>
          <w:tcPr>
            <w:tcW w:w="14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地块编号</w:t>
            </w:r>
          </w:p>
        </w:tc>
        <w:tc>
          <w:tcPr>
            <w:tcW w:w="123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用地性质</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用地代码</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地块面积（平方米）</w:t>
            </w:r>
          </w:p>
        </w:tc>
        <w:tc>
          <w:tcPr>
            <w:tcW w:w="192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容积率</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建筑密度上限（%）</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绿地率下限（%）</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建筑限高（上限，单位：米）</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主出入口方位</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建筑后退道路红线距离</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建筑退河道绿化带距离</w:t>
            </w:r>
          </w:p>
        </w:tc>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配建要求</w:t>
            </w:r>
          </w:p>
        </w:tc>
      </w:tr>
      <w:tr>
        <w:tblPrEx>
          <w:tblCellMar>
            <w:top w:w="0" w:type="dxa"/>
            <w:left w:w="108" w:type="dxa"/>
            <w:bottom w:w="0" w:type="dxa"/>
            <w:right w:w="108" w:type="dxa"/>
          </w:tblCellMar>
        </w:tblPrEx>
        <w:trPr>
          <w:trHeight w:val="511" w:hRule="atLeast"/>
        </w:trPr>
        <w:tc>
          <w:tcPr>
            <w:tcW w:w="14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123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下限</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上限</w:t>
            </w: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ind w:firstLine="420"/>
              <w:jc w:val="center"/>
              <w:rPr>
                <w:rFonts w:ascii="宋体" w:hAnsi="宋体" w:cs="宋体"/>
                <w:color w:val="000000"/>
                <w:kern w:val="0"/>
                <w:szCs w:val="21"/>
              </w:rPr>
            </w:pPr>
          </w:p>
        </w:tc>
      </w:tr>
      <w:tr>
        <w:tblPrEx>
          <w:tblCellMar>
            <w:top w:w="0" w:type="dxa"/>
            <w:left w:w="108" w:type="dxa"/>
            <w:bottom w:w="0" w:type="dxa"/>
            <w:right w:w="108" w:type="dxa"/>
          </w:tblCellMar>
        </w:tblPrEx>
        <w:trPr>
          <w:trHeight w:val="310"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0109101001</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公园绿地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G1</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29817</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0109101002</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公园绿地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G1</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68727</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0109101003</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农林用地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E2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716</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166"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0109101004</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农林用地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E2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472490</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两处地面通信基站</w:t>
            </w:r>
          </w:p>
        </w:tc>
      </w:tr>
      <w:tr>
        <w:tblPrEx>
          <w:tblCellMar>
            <w:top w:w="0" w:type="dxa"/>
            <w:left w:w="108" w:type="dxa"/>
            <w:bottom w:w="0" w:type="dxa"/>
            <w:right w:w="108" w:type="dxa"/>
          </w:tblCellMar>
        </w:tblPrEx>
        <w:trPr>
          <w:trHeight w:val="90"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0109101005</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环境设施用地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U2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10106</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0.5</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20</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E</w:t>
            </w:r>
            <w:r>
              <w:rPr>
                <w:rFonts w:hint="eastAsia" w:ascii="宋体" w:hAnsi="宋体" w:cs="宋体"/>
                <w:color w:val="000000"/>
                <w:kern w:val="0"/>
                <w:szCs w:val="21"/>
              </w:rPr>
              <w:t>、S</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N</w:t>
            </w:r>
            <w:r>
              <w:rPr>
                <w:rFonts w:ascii="宋体" w:hAnsi="宋体" w:cs="宋体"/>
                <w:color w:val="000000"/>
                <w:kern w:val="0"/>
                <w:szCs w:val="21"/>
              </w:rPr>
              <w:t>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净水设施</w:t>
            </w:r>
          </w:p>
        </w:tc>
      </w:tr>
      <w:tr>
        <w:tblPrEx>
          <w:tblCellMar>
            <w:top w:w="0" w:type="dxa"/>
            <w:left w:w="108" w:type="dxa"/>
            <w:bottom w:w="0" w:type="dxa"/>
            <w:right w:w="108" w:type="dxa"/>
          </w:tblCellMar>
        </w:tblPrEx>
        <w:trPr>
          <w:trHeight w:val="310"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0109102001</w:t>
            </w:r>
          </w:p>
        </w:tc>
        <w:tc>
          <w:tcPr>
            <w:tcW w:w="123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公园绿地</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G1</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2675</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0109102002</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公园绿地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G1</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5649</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0109102003</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公园绿地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G1</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9882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0109102004</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农林用地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E2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167959</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90"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0109102005</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农林用地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E2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ascii="宋体" w:hAnsi="宋体" w:cs="宋体"/>
                <w:color w:val="000000"/>
                <w:kern w:val="0"/>
                <w:szCs w:val="21"/>
              </w:rPr>
              <w:t>93078</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地面通信基站</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0109102006</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供燃气用地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U13</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45436</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0.8</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20</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24</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N</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kern w:val="0"/>
                <w:sz w:val="20"/>
                <w:szCs w:val="20"/>
              </w:rPr>
              <w:t>N3</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S</w:t>
            </w:r>
            <w:r>
              <w:rPr>
                <w:rFonts w:ascii="宋体" w:hAnsi="宋体" w:cs="宋体"/>
                <w:color w:val="000000"/>
                <w:kern w:val="0"/>
                <w:szCs w:val="21"/>
              </w:rPr>
              <w:t>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南郊门站、 CNG 调压站</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0109102007</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农林用地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E2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99303</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0109102008</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农林用地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E2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9187</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85" w:hRule="atLeast"/>
        </w:trPr>
        <w:tc>
          <w:tcPr>
            <w:tcW w:w="1434"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0109102009</w:t>
            </w:r>
          </w:p>
        </w:tc>
        <w:tc>
          <w:tcPr>
            <w:tcW w:w="1236"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农林用地</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E2</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79481</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c>
          <w:tcPr>
            <w:tcW w:w="960" w:type="dxa"/>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w:t>
            </w:r>
          </w:p>
        </w:tc>
      </w:tr>
    </w:tbl>
    <w:p>
      <w:pPr>
        <w:pStyle w:val="19"/>
        <w:ind w:firstLine="0" w:firstLineChars="0"/>
        <w:jc w:val="both"/>
      </w:pPr>
    </w:p>
    <w:sectPr>
      <w:headerReference r:id="rId7" w:type="first"/>
      <w:footerReference r:id="rId10" w:type="first"/>
      <w:headerReference r:id="rId5" w:type="default"/>
      <w:footerReference r:id="rId8" w:type="default"/>
      <w:headerReference r:id="rId6" w:type="even"/>
      <w:footerReference r:id="rId9" w:type="even"/>
      <w:pgSz w:w="16838" w:h="11906" w:orient="landscape"/>
      <w:pgMar w:top="1797" w:right="1440" w:bottom="1797"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9" w:usb3="00000000" w:csb0="000001FF" w:csb1="00000000"/>
  </w:font>
  <w:font w:name="Arial Narrow">
    <w:altName w:val="Times New Roman"/>
    <w:panose1 w:val="020B0606020202030204"/>
    <w:charset w:val="00"/>
    <w:family w:val="swiss"/>
    <w:pitch w:val="default"/>
    <w:sig w:usb0="00000000" w:usb1="00000000" w:usb2="00000000" w:usb3="00000000" w:csb0="0000009F" w:csb1="00000000"/>
  </w:font>
  <w:font w:name="文鼎CS细等线">
    <w:altName w:val="汉仪仿宋S"/>
    <w:panose1 w:val="00000000000000000000"/>
    <w:charset w:val="86"/>
    <w:family w:val="modern"/>
    <w:pitch w:val="default"/>
    <w:sig w:usb0="00000000" w:usb1="00000000" w:usb2="0000001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等线 Light">
    <w:altName w:val="汉仪仿宋S"/>
    <w:panose1 w:val="00000000000000000000"/>
    <w:charset w:val="86"/>
    <w:family w:val="auto"/>
    <w:pitch w:val="default"/>
    <w:sig w:usb0="00000000" w:usb1="00000000" w:usb2="00000016" w:usb3="00000000" w:csb0="0004000F" w:csb1="00000000"/>
  </w:font>
  <w:font w:name="幼圆">
    <w:altName w:val="仿宋"/>
    <w:panose1 w:val="02010509060101010101"/>
    <w:charset w:val="86"/>
    <w:family w:val="modern"/>
    <w:pitch w:val="default"/>
    <w:sig w:usb0="00000000" w:usb1="00000000" w:usb2="00000010" w:usb3="00000000" w:csb0="00040000" w:csb1="00000000"/>
  </w:font>
  <w:font w:name="Arial Unicode MS">
    <w:altName w:val="Times New Roman"/>
    <w:panose1 w:val="020B0604020202020204"/>
    <w:charset w:val="86"/>
    <w:family w:val="swiss"/>
    <w:pitch w:val="default"/>
    <w:sig w:usb0="00000000" w:usb1="00000000" w:usb2="0000003F" w:usb3="00000000" w:csb0="003F01FF" w:csb1="00000000"/>
  </w:font>
  <w:font w:name="Cambria">
    <w:altName w:val="Noto Sans Syriac Eastern"/>
    <w:panose1 w:val="02040503050406030204"/>
    <w:charset w:val="00"/>
    <w:family w:val="roman"/>
    <w:pitch w:val="default"/>
    <w:sig w:usb0="00000000" w:usb1="00000000" w:usb2="00000000" w:usb3="00000000" w:csb0="0000019F" w:csb1="00000000"/>
  </w:font>
  <w:font w:name="方正书宋_GBK">
    <w:panose1 w:val="02000000000000000000"/>
    <w:charset w:val="86"/>
    <w:family w:val="auto"/>
    <w:pitch w:val="default"/>
    <w:sig w:usb0="00000001" w:usb1="08000000" w:usb2="00000000" w:usb3="00000000" w:csb0="00040000" w:csb1="0000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ind w:firstLine="360"/>
      <w:rPr>
        <w:rStyle w:val="25"/>
      </w:rPr>
    </w:pPr>
    <w:r>
      <w:rPr>
        <w:rStyle w:val="25"/>
      </w:rPr>
      <w:fldChar w:fldCharType="begin"/>
    </w:r>
    <w:r>
      <w:rPr>
        <w:rStyle w:val="25"/>
      </w:rPr>
      <w:instrText xml:space="preserve">PAGE  </w:instrText>
    </w:r>
    <w:r>
      <w:rPr>
        <w:rStyle w:val="25"/>
      </w:rPr>
      <w:fldChar w:fldCharType="separate"/>
    </w:r>
    <w:r>
      <w:rPr>
        <w:rStyle w:val="25"/>
      </w:rPr>
      <w:t>3</w:t>
    </w:r>
    <w:r>
      <w:rPr>
        <w:rStyle w:val="25"/>
      </w:rPr>
      <w:fldChar w:fldCharType="end"/>
    </w:r>
  </w:p>
  <w:p>
    <w:pPr>
      <w:pStyle w:val="14"/>
      <w:ind w:right="36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ind w:firstLine="360"/>
      <w:rPr>
        <w:rStyle w:val="25"/>
      </w:rPr>
    </w:pPr>
    <w:r>
      <w:rPr>
        <w:rStyle w:val="25"/>
      </w:rPr>
      <w:fldChar w:fldCharType="begin"/>
    </w:r>
    <w:r>
      <w:rPr>
        <w:rStyle w:val="25"/>
      </w:rPr>
      <w:instrText xml:space="preserve">PAGE  </w:instrText>
    </w:r>
    <w:r>
      <w:rPr>
        <w:rStyle w:val="25"/>
      </w:rP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UzZTE5MDFjNGIyMjlhMmVjODdkNjQwMmY1Zjg3MmQifQ=="/>
  </w:docVars>
  <w:rsids>
    <w:rsidRoot w:val="003B4A20"/>
    <w:rsid w:val="0000073D"/>
    <w:rsid w:val="00001D5C"/>
    <w:rsid w:val="00002A62"/>
    <w:rsid w:val="000031E9"/>
    <w:rsid w:val="00004CE5"/>
    <w:rsid w:val="00010524"/>
    <w:rsid w:val="0001088B"/>
    <w:rsid w:val="00011BBE"/>
    <w:rsid w:val="00013198"/>
    <w:rsid w:val="00015FDC"/>
    <w:rsid w:val="000271F9"/>
    <w:rsid w:val="000308A1"/>
    <w:rsid w:val="00031E6D"/>
    <w:rsid w:val="00032894"/>
    <w:rsid w:val="0003519B"/>
    <w:rsid w:val="00036D5D"/>
    <w:rsid w:val="00040DF5"/>
    <w:rsid w:val="00041DFA"/>
    <w:rsid w:val="00041E02"/>
    <w:rsid w:val="00043BC2"/>
    <w:rsid w:val="00047AA9"/>
    <w:rsid w:val="000575D8"/>
    <w:rsid w:val="000615B2"/>
    <w:rsid w:val="00067535"/>
    <w:rsid w:val="000700AE"/>
    <w:rsid w:val="000736CD"/>
    <w:rsid w:val="00073B89"/>
    <w:rsid w:val="000758FC"/>
    <w:rsid w:val="00080B67"/>
    <w:rsid w:val="00080F8E"/>
    <w:rsid w:val="00081A51"/>
    <w:rsid w:val="000844F6"/>
    <w:rsid w:val="0008612B"/>
    <w:rsid w:val="000927E4"/>
    <w:rsid w:val="0009525D"/>
    <w:rsid w:val="00097797"/>
    <w:rsid w:val="000A04B5"/>
    <w:rsid w:val="000A074B"/>
    <w:rsid w:val="000A4255"/>
    <w:rsid w:val="000A7E56"/>
    <w:rsid w:val="000B1F36"/>
    <w:rsid w:val="000B36A0"/>
    <w:rsid w:val="000B5E88"/>
    <w:rsid w:val="000D3814"/>
    <w:rsid w:val="000D3BCF"/>
    <w:rsid w:val="000D4EBC"/>
    <w:rsid w:val="000D59B7"/>
    <w:rsid w:val="000E222D"/>
    <w:rsid w:val="000E24A5"/>
    <w:rsid w:val="000E4A13"/>
    <w:rsid w:val="000E7360"/>
    <w:rsid w:val="000E7B80"/>
    <w:rsid w:val="000F05DC"/>
    <w:rsid w:val="000F34E8"/>
    <w:rsid w:val="000F52A6"/>
    <w:rsid w:val="000F58C9"/>
    <w:rsid w:val="000F5C6D"/>
    <w:rsid w:val="000F611F"/>
    <w:rsid w:val="000F731E"/>
    <w:rsid w:val="001073FB"/>
    <w:rsid w:val="0011253A"/>
    <w:rsid w:val="001126F0"/>
    <w:rsid w:val="00113404"/>
    <w:rsid w:val="00116B02"/>
    <w:rsid w:val="00117D99"/>
    <w:rsid w:val="00124860"/>
    <w:rsid w:val="00125048"/>
    <w:rsid w:val="00125FF5"/>
    <w:rsid w:val="001278D5"/>
    <w:rsid w:val="00135F1D"/>
    <w:rsid w:val="00141FAA"/>
    <w:rsid w:val="001560F5"/>
    <w:rsid w:val="00157DF8"/>
    <w:rsid w:val="001615B8"/>
    <w:rsid w:val="00161F93"/>
    <w:rsid w:val="001643FE"/>
    <w:rsid w:val="00166D36"/>
    <w:rsid w:val="0016766C"/>
    <w:rsid w:val="00167DE2"/>
    <w:rsid w:val="00170334"/>
    <w:rsid w:val="00172495"/>
    <w:rsid w:val="00173A32"/>
    <w:rsid w:val="0017518B"/>
    <w:rsid w:val="001759A3"/>
    <w:rsid w:val="00181790"/>
    <w:rsid w:val="00182AB1"/>
    <w:rsid w:val="001859AB"/>
    <w:rsid w:val="0019052A"/>
    <w:rsid w:val="00194158"/>
    <w:rsid w:val="001A02DA"/>
    <w:rsid w:val="001A10CA"/>
    <w:rsid w:val="001A2046"/>
    <w:rsid w:val="001A3A87"/>
    <w:rsid w:val="001A3B62"/>
    <w:rsid w:val="001A3FBE"/>
    <w:rsid w:val="001A5D74"/>
    <w:rsid w:val="001A726A"/>
    <w:rsid w:val="001B398C"/>
    <w:rsid w:val="001B3E93"/>
    <w:rsid w:val="001C4554"/>
    <w:rsid w:val="001D2527"/>
    <w:rsid w:val="001D4344"/>
    <w:rsid w:val="001E0D3D"/>
    <w:rsid w:val="001E3DF2"/>
    <w:rsid w:val="001E4883"/>
    <w:rsid w:val="001E7ECD"/>
    <w:rsid w:val="001F2EC2"/>
    <w:rsid w:val="001F6C02"/>
    <w:rsid w:val="00200DE2"/>
    <w:rsid w:val="0020228F"/>
    <w:rsid w:val="00202E74"/>
    <w:rsid w:val="0021174C"/>
    <w:rsid w:val="00213AD6"/>
    <w:rsid w:val="002163B7"/>
    <w:rsid w:val="00220532"/>
    <w:rsid w:val="00223A8B"/>
    <w:rsid w:val="00223EE9"/>
    <w:rsid w:val="00224B14"/>
    <w:rsid w:val="00227536"/>
    <w:rsid w:val="0023090A"/>
    <w:rsid w:val="0023196B"/>
    <w:rsid w:val="00235CA8"/>
    <w:rsid w:val="00235FBD"/>
    <w:rsid w:val="00236186"/>
    <w:rsid w:val="002368DA"/>
    <w:rsid w:val="00240243"/>
    <w:rsid w:val="00241E85"/>
    <w:rsid w:val="00242445"/>
    <w:rsid w:val="00245057"/>
    <w:rsid w:val="002461D4"/>
    <w:rsid w:val="00253716"/>
    <w:rsid w:val="00254F9F"/>
    <w:rsid w:val="00255006"/>
    <w:rsid w:val="00267233"/>
    <w:rsid w:val="00267D61"/>
    <w:rsid w:val="0027513E"/>
    <w:rsid w:val="002761DE"/>
    <w:rsid w:val="00276657"/>
    <w:rsid w:val="002774FA"/>
    <w:rsid w:val="00277D93"/>
    <w:rsid w:val="002820BE"/>
    <w:rsid w:val="002838E7"/>
    <w:rsid w:val="00292232"/>
    <w:rsid w:val="002924FA"/>
    <w:rsid w:val="002929D4"/>
    <w:rsid w:val="00293663"/>
    <w:rsid w:val="0029366F"/>
    <w:rsid w:val="00295E3C"/>
    <w:rsid w:val="002A1506"/>
    <w:rsid w:val="002A3FF1"/>
    <w:rsid w:val="002A50F7"/>
    <w:rsid w:val="002B50E3"/>
    <w:rsid w:val="002C6800"/>
    <w:rsid w:val="002E02BF"/>
    <w:rsid w:val="002E3622"/>
    <w:rsid w:val="002F03D2"/>
    <w:rsid w:val="002F0B3C"/>
    <w:rsid w:val="002F2B8C"/>
    <w:rsid w:val="002F65FA"/>
    <w:rsid w:val="002F672A"/>
    <w:rsid w:val="0030281F"/>
    <w:rsid w:val="0030397A"/>
    <w:rsid w:val="00307BE8"/>
    <w:rsid w:val="00314AC9"/>
    <w:rsid w:val="00314C6F"/>
    <w:rsid w:val="00317275"/>
    <w:rsid w:val="003253FD"/>
    <w:rsid w:val="0033117B"/>
    <w:rsid w:val="00331516"/>
    <w:rsid w:val="00334D84"/>
    <w:rsid w:val="003412E3"/>
    <w:rsid w:val="00345D85"/>
    <w:rsid w:val="0034734E"/>
    <w:rsid w:val="003474D4"/>
    <w:rsid w:val="0034771B"/>
    <w:rsid w:val="0035161A"/>
    <w:rsid w:val="00352FAC"/>
    <w:rsid w:val="00354F47"/>
    <w:rsid w:val="003600EE"/>
    <w:rsid w:val="00361BCF"/>
    <w:rsid w:val="00361F21"/>
    <w:rsid w:val="003629E6"/>
    <w:rsid w:val="00370657"/>
    <w:rsid w:val="00370BB0"/>
    <w:rsid w:val="00373230"/>
    <w:rsid w:val="00374641"/>
    <w:rsid w:val="0037623E"/>
    <w:rsid w:val="00380AB2"/>
    <w:rsid w:val="00381F20"/>
    <w:rsid w:val="00382E1D"/>
    <w:rsid w:val="0038316F"/>
    <w:rsid w:val="003871EA"/>
    <w:rsid w:val="00390607"/>
    <w:rsid w:val="00392569"/>
    <w:rsid w:val="00396BE9"/>
    <w:rsid w:val="00396D51"/>
    <w:rsid w:val="003A24B1"/>
    <w:rsid w:val="003A3F96"/>
    <w:rsid w:val="003B1F11"/>
    <w:rsid w:val="003B212B"/>
    <w:rsid w:val="003B4114"/>
    <w:rsid w:val="003B4A20"/>
    <w:rsid w:val="003B728E"/>
    <w:rsid w:val="003C105D"/>
    <w:rsid w:val="003C1068"/>
    <w:rsid w:val="003C3D1C"/>
    <w:rsid w:val="003D214F"/>
    <w:rsid w:val="003D2ACE"/>
    <w:rsid w:val="003D2E06"/>
    <w:rsid w:val="003D39A2"/>
    <w:rsid w:val="003D4357"/>
    <w:rsid w:val="003E27CA"/>
    <w:rsid w:val="003F70CE"/>
    <w:rsid w:val="003F7590"/>
    <w:rsid w:val="0040043D"/>
    <w:rsid w:val="00402983"/>
    <w:rsid w:val="00412C96"/>
    <w:rsid w:val="00414252"/>
    <w:rsid w:val="00416A30"/>
    <w:rsid w:val="0042137E"/>
    <w:rsid w:val="0042566E"/>
    <w:rsid w:val="00431113"/>
    <w:rsid w:val="00431D50"/>
    <w:rsid w:val="0043205C"/>
    <w:rsid w:val="00434FC6"/>
    <w:rsid w:val="00440B01"/>
    <w:rsid w:val="0044125A"/>
    <w:rsid w:val="0044183B"/>
    <w:rsid w:val="00447E86"/>
    <w:rsid w:val="004557A5"/>
    <w:rsid w:val="00464824"/>
    <w:rsid w:val="0046640C"/>
    <w:rsid w:val="004700F4"/>
    <w:rsid w:val="00471E81"/>
    <w:rsid w:val="00474970"/>
    <w:rsid w:val="00474B79"/>
    <w:rsid w:val="00482E86"/>
    <w:rsid w:val="00483F36"/>
    <w:rsid w:val="0048672F"/>
    <w:rsid w:val="004903C8"/>
    <w:rsid w:val="004922A4"/>
    <w:rsid w:val="004945D3"/>
    <w:rsid w:val="004969F9"/>
    <w:rsid w:val="00496ADC"/>
    <w:rsid w:val="004A2E0C"/>
    <w:rsid w:val="004A4508"/>
    <w:rsid w:val="004A5FE8"/>
    <w:rsid w:val="004B0E60"/>
    <w:rsid w:val="004B17CC"/>
    <w:rsid w:val="004B1EF8"/>
    <w:rsid w:val="004B2190"/>
    <w:rsid w:val="004B2D6C"/>
    <w:rsid w:val="004B4E2E"/>
    <w:rsid w:val="004B69E0"/>
    <w:rsid w:val="004C0824"/>
    <w:rsid w:val="004C08A0"/>
    <w:rsid w:val="004C33CC"/>
    <w:rsid w:val="004C7562"/>
    <w:rsid w:val="004C783F"/>
    <w:rsid w:val="004D105C"/>
    <w:rsid w:val="004D2BF0"/>
    <w:rsid w:val="004D410B"/>
    <w:rsid w:val="004D4742"/>
    <w:rsid w:val="004D72C2"/>
    <w:rsid w:val="004E5238"/>
    <w:rsid w:val="004E6FF0"/>
    <w:rsid w:val="004F00F6"/>
    <w:rsid w:val="004F0452"/>
    <w:rsid w:val="004F0B9C"/>
    <w:rsid w:val="004F0C90"/>
    <w:rsid w:val="004F3E9B"/>
    <w:rsid w:val="004F71A8"/>
    <w:rsid w:val="004F7AE3"/>
    <w:rsid w:val="00501C3A"/>
    <w:rsid w:val="0050387B"/>
    <w:rsid w:val="00504A65"/>
    <w:rsid w:val="00505696"/>
    <w:rsid w:val="00507D3C"/>
    <w:rsid w:val="00507E24"/>
    <w:rsid w:val="005115DA"/>
    <w:rsid w:val="005127B1"/>
    <w:rsid w:val="00512937"/>
    <w:rsid w:val="00514447"/>
    <w:rsid w:val="00514718"/>
    <w:rsid w:val="005173D7"/>
    <w:rsid w:val="005220C9"/>
    <w:rsid w:val="005235E4"/>
    <w:rsid w:val="00526193"/>
    <w:rsid w:val="005325B7"/>
    <w:rsid w:val="00540A7A"/>
    <w:rsid w:val="005424EB"/>
    <w:rsid w:val="0054381E"/>
    <w:rsid w:val="00551DA5"/>
    <w:rsid w:val="0056077A"/>
    <w:rsid w:val="00560A8A"/>
    <w:rsid w:val="00562083"/>
    <w:rsid w:val="00571CF6"/>
    <w:rsid w:val="0057216D"/>
    <w:rsid w:val="0057275F"/>
    <w:rsid w:val="00574521"/>
    <w:rsid w:val="0058190E"/>
    <w:rsid w:val="00582478"/>
    <w:rsid w:val="005827EB"/>
    <w:rsid w:val="00583A95"/>
    <w:rsid w:val="00590135"/>
    <w:rsid w:val="005911E0"/>
    <w:rsid w:val="00595150"/>
    <w:rsid w:val="00595ECF"/>
    <w:rsid w:val="0059742B"/>
    <w:rsid w:val="005A57B3"/>
    <w:rsid w:val="005A596A"/>
    <w:rsid w:val="005A66F0"/>
    <w:rsid w:val="005B3683"/>
    <w:rsid w:val="005B749D"/>
    <w:rsid w:val="005C026F"/>
    <w:rsid w:val="005C072A"/>
    <w:rsid w:val="005C243B"/>
    <w:rsid w:val="005C3912"/>
    <w:rsid w:val="005C3E2E"/>
    <w:rsid w:val="005C4A0D"/>
    <w:rsid w:val="005D279F"/>
    <w:rsid w:val="005D4896"/>
    <w:rsid w:val="005D7020"/>
    <w:rsid w:val="005E355C"/>
    <w:rsid w:val="005F1F23"/>
    <w:rsid w:val="005F314F"/>
    <w:rsid w:val="005F35D2"/>
    <w:rsid w:val="005F3E6C"/>
    <w:rsid w:val="005F45A0"/>
    <w:rsid w:val="006014D4"/>
    <w:rsid w:val="0060492A"/>
    <w:rsid w:val="0061279A"/>
    <w:rsid w:val="006158C9"/>
    <w:rsid w:val="0062027F"/>
    <w:rsid w:val="00625772"/>
    <w:rsid w:val="00630B06"/>
    <w:rsid w:val="00632DD7"/>
    <w:rsid w:val="00637602"/>
    <w:rsid w:val="006379CC"/>
    <w:rsid w:val="0064018B"/>
    <w:rsid w:val="006440ED"/>
    <w:rsid w:val="00650266"/>
    <w:rsid w:val="00652840"/>
    <w:rsid w:val="00652A10"/>
    <w:rsid w:val="00653D40"/>
    <w:rsid w:val="00655369"/>
    <w:rsid w:val="00660B7E"/>
    <w:rsid w:val="00660E91"/>
    <w:rsid w:val="00664294"/>
    <w:rsid w:val="0067290F"/>
    <w:rsid w:val="0067350F"/>
    <w:rsid w:val="00677172"/>
    <w:rsid w:val="0069474B"/>
    <w:rsid w:val="006A0635"/>
    <w:rsid w:val="006A284D"/>
    <w:rsid w:val="006A5DC6"/>
    <w:rsid w:val="006A6388"/>
    <w:rsid w:val="006B103D"/>
    <w:rsid w:val="006B158E"/>
    <w:rsid w:val="006B16D5"/>
    <w:rsid w:val="006B21C4"/>
    <w:rsid w:val="006B3458"/>
    <w:rsid w:val="006B415E"/>
    <w:rsid w:val="006B7ACB"/>
    <w:rsid w:val="006C3055"/>
    <w:rsid w:val="006C4D89"/>
    <w:rsid w:val="006C5512"/>
    <w:rsid w:val="006C6B40"/>
    <w:rsid w:val="006C7C19"/>
    <w:rsid w:val="006D2F05"/>
    <w:rsid w:val="006D4319"/>
    <w:rsid w:val="006D702A"/>
    <w:rsid w:val="006E1CC3"/>
    <w:rsid w:val="006E2B0E"/>
    <w:rsid w:val="006E3BA7"/>
    <w:rsid w:val="006F00D6"/>
    <w:rsid w:val="006F26E9"/>
    <w:rsid w:val="006F49CA"/>
    <w:rsid w:val="006F5D1F"/>
    <w:rsid w:val="006F6DE2"/>
    <w:rsid w:val="00702EAF"/>
    <w:rsid w:val="00703599"/>
    <w:rsid w:val="00703718"/>
    <w:rsid w:val="00705FF0"/>
    <w:rsid w:val="00706994"/>
    <w:rsid w:val="007113E3"/>
    <w:rsid w:val="00712CA7"/>
    <w:rsid w:val="007153A2"/>
    <w:rsid w:val="00723F13"/>
    <w:rsid w:val="00724416"/>
    <w:rsid w:val="00730CA8"/>
    <w:rsid w:val="007344D4"/>
    <w:rsid w:val="00735DC2"/>
    <w:rsid w:val="00736BE3"/>
    <w:rsid w:val="00737769"/>
    <w:rsid w:val="0074053F"/>
    <w:rsid w:val="00746532"/>
    <w:rsid w:val="00746DC7"/>
    <w:rsid w:val="007523B6"/>
    <w:rsid w:val="0076068D"/>
    <w:rsid w:val="00771F3C"/>
    <w:rsid w:val="007769E2"/>
    <w:rsid w:val="00781713"/>
    <w:rsid w:val="00782F82"/>
    <w:rsid w:val="007920E4"/>
    <w:rsid w:val="00797C4E"/>
    <w:rsid w:val="007A00EC"/>
    <w:rsid w:val="007A2FF9"/>
    <w:rsid w:val="007A42BD"/>
    <w:rsid w:val="007A7D0A"/>
    <w:rsid w:val="007B2CAB"/>
    <w:rsid w:val="007B3877"/>
    <w:rsid w:val="007B3E14"/>
    <w:rsid w:val="007C1B64"/>
    <w:rsid w:val="007C21B9"/>
    <w:rsid w:val="007C3EAE"/>
    <w:rsid w:val="007D0186"/>
    <w:rsid w:val="007D2889"/>
    <w:rsid w:val="007D45A9"/>
    <w:rsid w:val="007D4A79"/>
    <w:rsid w:val="007D59EE"/>
    <w:rsid w:val="007D7563"/>
    <w:rsid w:val="007D757F"/>
    <w:rsid w:val="007E347C"/>
    <w:rsid w:val="007E3B19"/>
    <w:rsid w:val="007E678B"/>
    <w:rsid w:val="0080081D"/>
    <w:rsid w:val="0080168F"/>
    <w:rsid w:val="008026E3"/>
    <w:rsid w:val="00802D0E"/>
    <w:rsid w:val="00804E7D"/>
    <w:rsid w:val="00811AEA"/>
    <w:rsid w:val="0081256E"/>
    <w:rsid w:val="0081626C"/>
    <w:rsid w:val="00817A32"/>
    <w:rsid w:val="00826DD7"/>
    <w:rsid w:val="00831486"/>
    <w:rsid w:val="008333C8"/>
    <w:rsid w:val="00833FB8"/>
    <w:rsid w:val="00834FEE"/>
    <w:rsid w:val="00835F7E"/>
    <w:rsid w:val="0083621E"/>
    <w:rsid w:val="008405E4"/>
    <w:rsid w:val="00841A83"/>
    <w:rsid w:val="00841B77"/>
    <w:rsid w:val="00853A49"/>
    <w:rsid w:val="00854301"/>
    <w:rsid w:val="00856528"/>
    <w:rsid w:val="008565DF"/>
    <w:rsid w:val="00860EFE"/>
    <w:rsid w:val="00870C92"/>
    <w:rsid w:val="008710E4"/>
    <w:rsid w:val="00872A7A"/>
    <w:rsid w:val="00875FDA"/>
    <w:rsid w:val="00876C60"/>
    <w:rsid w:val="00877DBD"/>
    <w:rsid w:val="00881B1D"/>
    <w:rsid w:val="00892209"/>
    <w:rsid w:val="00895636"/>
    <w:rsid w:val="008961DD"/>
    <w:rsid w:val="00896218"/>
    <w:rsid w:val="008B4B59"/>
    <w:rsid w:val="008C3094"/>
    <w:rsid w:val="008C496E"/>
    <w:rsid w:val="008C5EC6"/>
    <w:rsid w:val="008D10D0"/>
    <w:rsid w:val="008D15A4"/>
    <w:rsid w:val="008E539D"/>
    <w:rsid w:val="008E5B8A"/>
    <w:rsid w:val="008E5DD7"/>
    <w:rsid w:val="008F1971"/>
    <w:rsid w:val="008F5177"/>
    <w:rsid w:val="00903E6C"/>
    <w:rsid w:val="00906B23"/>
    <w:rsid w:val="009122CC"/>
    <w:rsid w:val="009148BF"/>
    <w:rsid w:val="00916483"/>
    <w:rsid w:val="009222D2"/>
    <w:rsid w:val="009259B4"/>
    <w:rsid w:val="009276FB"/>
    <w:rsid w:val="00927C38"/>
    <w:rsid w:val="00931B6E"/>
    <w:rsid w:val="00932849"/>
    <w:rsid w:val="00933E93"/>
    <w:rsid w:val="00934C36"/>
    <w:rsid w:val="0093616A"/>
    <w:rsid w:val="00937753"/>
    <w:rsid w:val="00943F93"/>
    <w:rsid w:val="009506D9"/>
    <w:rsid w:val="009557B7"/>
    <w:rsid w:val="00963C99"/>
    <w:rsid w:val="0096591C"/>
    <w:rsid w:val="0096782D"/>
    <w:rsid w:val="00971C1B"/>
    <w:rsid w:val="00973AD1"/>
    <w:rsid w:val="0097521F"/>
    <w:rsid w:val="0097565D"/>
    <w:rsid w:val="009760DC"/>
    <w:rsid w:val="00977BC4"/>
    <w:rsid w:val="00980A01"/>
    <w:rsid w:val="00984BC3"/>
    <w:rsid w:val="0099079A"/>
    <w:rsid w:val="00991E47"/>
    <w:rsid w:val="00994389"/>
    <w:rsid w:val="00996152"/>
    <w:rsid w:val="00997CA9"/>
    <w:rsid w:val="009A26DC"/>
    <w:rsid w:val="009A5462"/>
    <w:rsid w:val="009B0D72"/>
    <w:rsid w:val="009B72A7"/>
    <w:rsid w:val="009C2237"/>
    <w:rsid w:val="009C33B7"/>
    <w:rsid w:val="009C667B"/>
    <w:rsid w:val="009D101B"/>
    <w:rsid w:val="009D3ADE"/>
    <w:rsid w:val="009D3BF3"/>
    <w:rsid w:val="009D6ACF"/>
    <w:rsid w:val="009E4713"/>
    <w:rsid w:val="009E5A20"/>
    <w:rsid w:val="009E7543"/>
    <w:rsid w:val="009F02E7"/>
    <w:rsid w:val="009F097F"/>
    <w:rsid w:val="009F4E2B"/>
    <w:rsid w:val="009F6927"/>
    <w:rsid w:val="00A0201C"/>
    <w:rsid w:val="00A04110"/>
    <w:rsid w:val="00A0458A"/>
    <w:rsid w:val="00A1061F"/>
    <w:rsid w:val="00A130DC"/>
    <w:rsid w:val="00A146AE"/>
    <w:rsid w:val="00A21922"/>
    <w:rsid w:val="00A2395C"/>
    <w:rsid w:val="00A26A38"/>
    <w:rsid w:val="00A40740"/>
    <w:rsid w:val="00A43936"/>
    <w:rsid w:val="00A46B53"/>
    <w:rsid w:val="00A47C44"/>
    <w:rsid w:val="00A52CFB"/>
    <w:rsid w:val="00A56D5F"/>
    <w:rsid w:val="00A57CDD"/>
    <w:rsid w:val="00A61EE6"/>
    <w:rsid w:val="00A63DE4"/>
    <w:rsid w:val="00A65825"/>
    <w:rsid w:val="00A65A84"/>
    <w:rsid w:val="00A66618"/>
    <w:rsid w:val="00A66991"/>
    <w:rsid w:val="00A669B9"/>
    <w:rsid w:val="00A673EF"/>
    <w:rsid w:val="00A70641"/>
    <w:rsid w:val="00A71629"/>
    <w:rsid w:val="00A7428B"/>
    <w:rsid w:val="00A76B1E"/>
    <w:rsid w:val="00A76E31"/>
    <w:rsid w:val="00A77619"/>
    <w:rsid w:val="00A9190A"/>
    <w:rsid w:val="00A9485A"/>
    <w:rsid w:val="00AA0E68"/>
    <w:rsid w:val="00AA3D3E"/>
    <w:rsid w:val="00AA474A"/>
    <w:rsid w:val="00AA6541"/>
    <w:rsid w:val="00AB306B"/>
    <w:rsid w:val="00AB37B6"/>
    <w:rsid w:val="00AB5947"/>
    <w:rsid w:val="00AB5B2C"/>
    <w:rsid w:val="00AB6FD3"/>
    <w:rsid w:val="00AC1FF5"/>
    <w:rsid w:val="00AC21F9"/>
    <w:rsid w:val="00AC2334"/>
    <w:rsid w:val="00AC38C3"/>
    <w:rsid w:val="00AC3B72"/>
    <w:rsid w:val="00AC4E78"/>
    <w:rsid w:val="00AC518A"/>
    <w:rsid w:val="00AC522E"/>
    <w:rsid w:val="00AC5E2F"/>
    <w:rsid w:val="00AC60B5"/>
    <w:rsid w:val="00AC60C5"/>
    <w:rsid w:val="00AE1CAB"/>
    <w:rsid w:val="00AE594A"/>
    <w:rsid w:val="00AE6133"/>
    <w:rsid w:val="00AF40D8"/>
    <w:rsid w:val="00AF459B"/>
    <w:rsid w:val="00AF4FF0"/>
    <w:rsid w:val="00AF5789"/>
    <w:rsid w:val="00AF5E0B"/>
    <w:rsid w:val="00AF79F3"/>
    <w:rsid w:val="00B029A9"/>
    <w:rsid w:val="00B06FF1"/>
    <w:rsid w:val="00B071B7"/>
    <w:rsid w:val="00B10057"/>
    <w:rsid w:val="00B101E5"/>
    <w:rsid w:val="00B12EDE"/>
    <w:rsid w:val="00B14CF3"/>
    <w:rsid w:val="00B17458"/>
    <w:rsid w:val="00B209ED"/>
    <w:rsid w:val="00B20F31"/>
    <w:rsid w:val="00B21136"/>
    <w:rsid w:val="00B21C0A"/>
    <w:rsid w:val="00B2285B"/>
    <w:rsid w:val="00B24B91"/>
    <w:rsid w:val="00B26FFF"/>
    <w:rsid w:val="00B34F66"/>
    <w:rsid w:val="00B36F66"/>
    <w:rsid w:val="00B37882"/>
    <w:rsid w:val="00B41A25"/>
    <w:rsid w:val="00B4390D"/>
    <w:rsid w:val="00B441C8"/>
    <w:rsid w:val="00B45FCF"/>
    <w:rsid w:val="00B52179"/>
    <w:rsid w:val="00B53B6F"/>
    <w:rsid w:val="00B54FDE"/>
    <w:rsid w:val="00B6181E"/>
    <w:rsid w:val="00B61ACD"/>
    <w:rsid w:val="00B61C88"/>
    <w:rsid w:val="00B64112"/>
    <w:rsid w:val="00B64330"/>
    <w:rsid w:val="00B64757"/>
    <w:rsid w:val="00B65EF1"/>
    <w:rsid w:val="00B66A51"/>
    <w:rsid w:val="00B672CE"/>
    <w:rsid w:val="00B70E79"/>
    <w:rsid w:val="00B75F3F"/>
    <w:rsid w:val="00B877F1"/>
    <w:rsid w:val="00B94111"/>
    <w:rsid w:val="00B9528A"/>
    <w:rsid w:val="00B9630F"/>
    <w:rsid w:val="00BA40AE"/>
    <w:rsid w:val="00BA70C1"/>
    <w:rsid w:val="00BA718F"/>
    <w:rsid w:val="00BA72AB"/>
    <w:rsid w:val="00BA75A0"/>
    <w:rsid w:val="00BB38D7"/>
    <w:rsid w:val="00BB6DD8"/>
    <w:rsid w:val="00BC0A3A"/>
    <w:rsid w:val="00BC50E1"/>
    <w:rsid w:val="00BD424D"/>
    <w:rsid w:val="00BD7629"/>
    <w:rsid w:val="00BE22B0"/>
    <w:rsid w:val="00BE5A50"/>
    <w:rsid w:val="00BE628B"/>
    <w:rsid w:val="00BF0595"/>
    <w:rsid w:val="00BF381D"/>
    <w:rsid w:val="00C00E17"/>
    <w:rsid w:val="00C03052"/>
    <w:rsid w:val="00C06F81"/>
    <w:rsid w:val="00C1200C"/>
    <w:rsid w:val="00C12B04"/>
    <w:rsid w:val="00C14D33"/>
    <w:rsid w:val="00C16E44"/>
    <w:rsid w:val="00C213C6"/>
    <w:rsid w:val="00C21AC3"/>
    <w:rsid w:val="00C225C8"/>
    <w:rsid w:val="00C256CA"/>
    <w:rsid w:val="00C275C6"/>
    <w:rsid w:val="00C315F2"/>
    <w:rsid w:val="00C34333"/>
    <w:rsid w:val="00C40977"/>
    <w:rsid w:val="00C40AFE"/>
    <w:rsid w:val="00C42F0A"/>
    <w:rsid w:val="00C4713E"/>
    <w:rsid w:val="00C5473B"/>
    <w:rsid w:val="00C5712D"/>
    <w:rsid w:val="00C57A85"/>
    <w:rsid w:val="00C6094F"/>
    <w:rsid w:val="00C6167A"/>
    <w:rsid w:val="00C645A3"/>
    <w:rsid w:val="00C64877"/>
    <w:rsid w:val="00C714BE"/>
    <w:rsid w:val="00C749B7"/>
    <w:rsid w:val="00C75538"/>
    <w:rsid w:val="00C7658B"/>
    <w:rsid w:val="00C76D2A"/>
    <w:rsid w:val="00C84E11"/>
    <w:rsid w:val="00C8674E"/>
    <w:rsid w:val="00C9419E"/>
    <w:rsid w:val="00CA23FA"/>
    <w:rsid w:val="00CA24CB"/>
    <w:rsid w:val="00CA63D2"/>
    <w:rsid w:val="00CA7769"/>
    <w:rsid w:val="00CB408E"/>
    <w:rsid w:val="00CB5753"/>
    <w:rsid w:val="00CB5DE3"/>
    <w:rsid w:val="00CC2609"/>
    <w:rsid w:val="00CC30F5"/>
    <w:rsid w:val="00CC3604"/>
    <w:rsid w:val="00CC4539"/>
    <w:rsid w:val="00CC66CF"/>
    <w:rsid w:val="00CC6FED"/>
    <w:rsid w:val="00CC7E7F"/>
    <w:rsid w:val="00CD0EEC"/>
    <w:rsid w:val="00CD6D0B"/>
    <w:rsid w:val="00CD77C4"/>
    <w:rsid w:val="00CD7D2E"/>
    <w:rsid w:val="00CE0AC3"/>
    <w:rsid w:val="00CE2EF4"/>
    <w:rsid w:val="00CE398B"/>
    <w:rsid w:val="00CE3FA8"/>
    <w:rsid w:val="00CE5012"/>
    <w:rsid w:val="00CF156E"/>
    <w:rsid w:val="00CF1BD2"/>
    <w:rsid w:val="00CF3C56"/>
    <w:rsid w:val="00CF4047"/>
    <w:rsid w:val="00CF67D7"/>
    <w:rsid w:val="00CF7AEE"/>
    <w:rsid w:val="00D00291"/>
    <w:rsid w:val="00D0343F"/>
    <w:rsid w:val="00D07267"/>
    <w:rsid w:val="00D078F2"/>
    <w:rsid w:val="00D121FE"/>
    <w:rsid w:val="00D13489"/>
    <w:rsid w:val="00D1479B"/>
    <w:rsid w:val="00D16251"/>
    <w:rsid w:val="00D22337"/>
    <w:rsid w:val="00D2288E"/>
    <w:rsid w:val="00D2583B"/>
    <w:rsid w:val="00D26D8A"/>
    <w:rsid w:val="00D30860"/>
    <w:rsid w:val="00D312B3"/>
    <w:rsid w:val="00D3218A"/>
    <w:rsid w:val="00D32B2F"/>
    <w:rsid w:val="00D43628"/>
    <w:rsid w:val="00D5216C"/>
    <w:rsid w:val="00D55343"/>
    <w:rsid w:val="00D60872"/>
    <w:rsid w:val="00D614A1"/>
    <w:rsid w:val="00D620B2"/>
    <w:rsid w:val="00D6325E"/>
    <w:rsid w:val="00D658BB"/>
    <w:rsid w:val="00D70829"/>
    <w:rsid w:val="00D71B76"/>
    <w:rsid w:val="00D7531F"/>
    <w:rsid w:val="00D75801"/>
    <w:rsid w:val="00D8068A"/>
    <w:rsid w:val="00D936DD"/>
    <w:rsid w:val="00D941CA"/>
    <w:rsid w:val="00DA15D8"/>
    <w:rsid w:val="00DA1630"/>
    <w:rsid w:val="00DA1FE4"/>
    <w:rsid w:val="00DA3DCD"/>
    <w:rsid w:val="00DA414A"/>
    <w:rsid w:val="00DA7385"/>
    <w:rsid w:val="00DB15C5"/>
    <w:rsid w:val="00DB2083"/>
    <w:rsid w:val="00DB27DF"/>
    <w:rsid w:val="00DB2D12"/>
    <w:rsid w:val="00DB634D"/>
    <w:rsid w:val="00DB7BC6"/>
    <w:rsid w:val="00DB7D60"/>
    <w:rsid w:val="00DC165A"/>
    <w:rsid w:val="00DC19C7"/>
    <w:rsid w:val="00DC3306"/>
    <w:rsid w:val="00DC5976"/>
    <w:rsid w:val="00DC7A26"/>
    <w:rsid w:val="00DC7F20"/>
    <w:rsid w:val="00DD0288"/>
    <w:rsid w:val="00DE1195"/>
    <w:rsid w:val="00DE2A3C"/>
    <w:rsid w:val="00DE3BD1"/>
    <w:rsid w:val="00DE7807"/>
    <w:rsid w:val="00DE7BB8"/>
    <w:rsid w:val="00DF3470"/>
    <w:rsid w:val="00DF4DFA"/>
    <w:rsid w:val="00E04AC3"/>
    <w:rsid w:val="00E11920"/>
    <w:rsid w:val="00E12F26"/>
    <w:rsid w:val="00E13963"/>
    <w:rsid w:val="00E1511E"/>
    <w:rsid w:val="00E17151"/>
    <w:rsid w:val="00E207C5"/>
    <w:rsid w:val="00E225AD"/>
    <w:rsid w:val="00E31716"/>
    <w:rsid w:val="00E37AB8"/>
    <w:rsid w:val="00E37D04"/>
    <w:rsid w:val="00E47084"/>
    <w:rsid w:val="00E51896"/>
    <w:rsid w:val="00E54528"/>
    <w:rsid w:val="00E54865"/>
    <w:rsid w:val="00E604C3"/>
    <w:rsid w:val="00E62924"/>
    <w:rsid w:val="00E648AD"/>
    <w:rsid w:val="00E658CA"/>
    <w:rsid w:val="00E67127"/>
    <w:rsid w:val="00E67BA4"/>
    <w:rsid w:val="00E746D3"/>
    <w:rsid w:val="00E836D8"/>
    <w:rsid w:val="00E8408A"/>
    <w:rsid w:val="00E86C23"/>
    <w:rsid w:val="00E91519"/>
    <w:rsid w:val="00E94097"/>
    <w:rsid w:val="00E942ED"/>
    <w:rsid w:val="00E95FF8"/>
    <w:rsid w:val="00E971AE"/>
    <w:rsid w:val="00EA042D"/>
    <w:rsid w:val="00EA0504"/>
    <w:rsid w:val="00EA1933"/>
    <w:rsid w:val="00EB1485"/>
    <w:rsid w:val="00EB5577"/>
    <w:rsid w:val="00EC4AE5"/>
    <w:rsid w:val="00EC615F"/>
    <w:rsid w:val="00ED3428"/>
    <w:rsid w:val="00EE0A4A"/>
    <w:rsid w:val="00EE5D75"/>
    <w:rsid w:val="00EE5F07"/>
    <w:rsid w:val="00EF05F4"/>
    <w:rsid w:val="00EF5D36"/>
    <w:rsid w:val="00EF719A"/>
    <w:rsid w:val="00EF7DB6"/>
    <w:rsid w:val="00F00212"/>
    <w:rsid w:val="00F00A02"/>
    <w:rsid w:val="00F06AAE"/>
    <w:rsid w:val="00F10BF0"/>
    <w:rsid w:val="00F17E77"/>
    <w:rsid w:val="00F2366A"/>
    <w:rsid w:val="00F27430"/>
    <w:rsid w:val="00F2751D"/>
    <w:rsid w:val="00F2751E"/>
    <w:rsid w:val="00F327C5"/>
    <w:rsid w:val="00F32C41"/>
    <w:rsid w:val="00F33E82"/>
    <w:rsid w:val="00F342C3"/>
    <w:rsid w:val="00F34E08"/>
    <w:rsid w:val="00F35F44"/>
    <w:rsid w:val="00F44AAC"/>
    <w:rsid w:val="00F476BE"/>
    <w:rsid w:val="00F57BAE"/>
    <w:rsid w:val="00F628CF"/>
    <w:rsid w:val="00F70589"/>
    <w:rsid w:val="00F70934"/>
    <w:rsid w:val="00F726BD"/>
    <w:rsid w:val="00F731B6"/>
    <w:rsid w:val="00F74486"/>
    <w:rsid w:val="00F753AF"/>
    <w:rsid w:val="00F80A10"/>
    <w:rsid w:val="00F812D8"/>
    <w:rsid w:val="00F816A3"/>
    <w:rsid w:val="00F826EB"/>
    <w:rsid w:val="00F85507"/>
    <w:rsid w:val="00F90051"/>
    <w:rsid w:val="00F93B75"/>
    <w:rsid w:val="00F93C44"/>
    <w:rsid w:val="00F9552F"/>
    <w:rsid w:val="00F960F9"/>
    <w:rsid w:val="00F977D4"/>
    <w:rsid w:val="00FA069C"/>
    <w:rsid w:val="00FA186E"/>
    <w:rsid w:val="00FA2776"/>
    <w:rsid w:val="00FA364C"/>
    <w:rsid w:val="00FA67A0"/>
    <w:rsid w:val="00FC4AB0"/>
    <w:rsid w:val="00FC5098"/>
    <w:rsid w:val="00FC74D3"/>
    <w:rsid w:val="00FD3659"/>
    <w:rsid w:val="00FD4589"/>
    <w:rsid w:val="00FD4DB3"/>
    <w:rsid w:val="00FD5313"/>
    <w:rsid w:val="00FE043F"/>
    <w:rsid w:val="00FE12D5"/>
    <w:rsid w:val="00FE3F49"/>
    <w:rsid w:val="00FE447E"/>
    <w:rsid w:val="00FE52F5"/>
    <w:rsid w:val="00FF0749"/>
    <w:rsid w:val="00FF4A41"/>
    <w:rsid w:val="00FF775B"/>
    <w:rsid w:val="039F7C82"/>
    <w:rsid w:val="047C6B5F"/>
    <w:rsid w:val="052D75AA"/>
    <w:rsid w:val="07A0239F"/>
    <w:rsid w:val="0AD972BC"/>
    <w:rsid w:val="0C766EE9"/>
    <w:rsid w:val="0D8D1BAC"/>
    <w:rsid w:val="0E2E16EB"/>
    <w:rsid w:val="0F854D25"/>
    <w:rsid w:val="0FEE3F78"/>
    <w:rsid w:val="13B70AFF"/>
    <w:rsid w:val="13F855F9"/>
    <w:rsid w:val="152051AC"/>
    <w:rsid w:val="1A8F320C"/>
    <w:rsid w:val="23C06F33"/>
    <w:rsid w:val="28477238"/>
    <w:rsid w:val="31207BA9"/>
    <w:rsid w:val="322801A4"/>
    <w:rsid w:val="388A604E"/>
    <w:rsid w:val="38D82DB4"/>
    <w:rsid w:val="3A4C2CAD"/>
    <w:rsid w:val="3B2B78E7"/>
    <w:rsid w:val="3FCD0602"/>
    <w:rsid w:val="47770405"/>
    <w:rsid w:val="514B0215"/>
    <w:rsid w:val="57BB5303"/>
    <w:rsid w:val="5848070E"/>
    <w:rsid w:val="592F35E7"/>
    <w:rsid w:val="5B670287"/>
    <w:rsid w:val="5EA533D6"/>
    <w:rsid w:val="5FA042DB"/>
    <w:rsid w:val="61B05BEC"/>
    <w:rsid w:val="68A93833"/>
    <w:rsid w:val="692F2145"/>
    <w:rsid w:val="6F58665F"/>
    <w:rsid w:val="7037123A"/>
    <w:rsid w:val="721D5D5A"/>
    <w:rsid w:val="730403D1"/>
    <w:rsid w:val="734939BC"/>
    <w:rsid w:val="73575827"/>
    <w:rsid w:val="73D83189"/>
    <w:rsid w:val="761902F6"/>
    <w:rsid w:val="7994193D"/>
    <w:rsid w:val="7BA1131F"/>
    <w:rsid w:val="7C344B14"/>
    <w:rsid w:val="7CEE178E"/>
    <w:rsid w:val="7D9C4DCA"/>
    <w:rsid w:val="7E355944"/>
    <w:rsid w:val="FFEBB0F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ind w:firstLine="0" w:firstLineChars="0"/>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1"/>
    <w:qFormat/>
    <w:uiPriority w:val="0"/>
    <w:pPr>
      <w:keepNext/>
      <w:keepLines/>
      <w:spacing w:before="260" w:after="260" w:line="416" w:lineRule="auto"/>
      <w:ind w:firstLine="0" w:firstLineChars="0"/>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before="60"/>
      <w:ind w:left="7371" w:firstLine="420" w:firstLineChars="0"/>
    </w:pPr>
    <w:rPr>
      <w:rFonts w:ascii="Arial Narrow" w:hAnsi="Arial Narrow" w:eastAsia="文鼎CS细等线"/>
      <w:sz w:val="24"/>
      <w:szCs w:val="20"/>
    </w:rPr>
  </w:style>
  <w:style w:type="paragraph" w:styleId="6">
    <w:name w:val="Document Map"/>
    <w:basedOn w:val="1"/>
    <w:link w:val="32"/>
    <w:qFormat/>
    <w:uiPriority w:val="0"/>
    <w:rPr>
      <w:rFonts w:ascii="宋体"/>
      <w:sz w:val="18"/>
      <w:szCs w:val="18"/>
    </w:rPr>
  </w:style>
  <w:style w:type="paragraph" w:styleId="7">
    <w:name w:val="annotation text"/>
    <w:basedOn w:val="1"/>
    <w:link w:val="33"/>
    <w:qFormat/>
    <w:uiPriority w:val="0"/>
    <w:pPr>
      <w:adjustRightInd w:val="0"/>
      <w:spacing w:line="312" w:lineRule="atLeast"/>
      <w:ind w:firstLine="0" w:firstLineChars="0"/>
      <w:jc w:val="left"/>
      <w:textAlignment w:val="baseline"/>
    </w:pPr>
    <w:rPr>
      <w:kern w:val="0"/>
      <w:szCs w:val="20"/>
    </w:rPr>
  </w:style>
  <w:style w:type="paragraph" w:styleId="8">
    <w:name w:val="Body Text"/>
    <w:basedOn w:val="1"/>
    <w:link w:val="34"/>
    <w:qFormat/>
    <w:uiPriority w:val="0"/>
    <w:pPr>
      <w:spacing w:after="120" w:line="240" w:lineRule="auto"/>
      <w:ind w:firstLine="0" w:firstLineChars="0"/>
    </w:pPr>
  </w:style>
  <w:style w:type="paragraph" w:styleId="9">
    <w:name w:val="Body Text Indent"/>
    <w:basedOn w:val="1"/>
    <w:link w:val="35"/>
    <w:qFormat/>
    <w:uiPriority w:val="0"/>
    <w:pPr>
      <w:spacing w:beforeLines="50" w:afterLines="50" w:line="360" w:lineRule="auto"/>
      <w:ind w:firstLine="480"/>
    </w:pPr>
    <w:rPr>
      <w:sz w:val="24"/>
    </w:rPr>
  </w:style>
  <w:style w:type="paragraph" w:styleId="10">
    <w:name w:val="toc 3"/>
    <w:basedOn w:val="1"/>
    <w:next w:val="1"/>
    <w:unhideWhenUsed/>
    <w:qFormat/>
    <w:uiPriority w:val="39"/>
    <w:pPr>
      <w:widowControl/>
      <w:spacing w:after="100" w:line="276" w:lineRule="auto"/>
      <w:ind w:left="440" w:firstLine="0" w:firstLineChars="0"/>
      <w:jc w:val="left"/>
    </w:pPr>
    <w:rPr>
      <w:rFonts w:ascii="Calibri" w:hAnsi="Calibri"/>
      <w:kern w:val="0"/>
      <w:sz w:val="22"/>
      <w:szCs w:val="22"/>
    </w:rPr>
  </w:style>
  <w:style w:type="paragraph" w:styleId="11">
    <w:name w:val="Plain Text"/>
    <w:basedOn w:val="1"/>
    <w:link w:val="36"/>
    <w:qFormat/>
    <w:uiPriority w:val="0"/>
    <w:rPr>
      <w:rFonts w:ascii="宋体" w:hAnsi="Courier New" w:cs="Courier New"/>
      <w:szCs w:val="21"/>
    </w:rPr>
  </w:style>
  <w:style w:type="paragraph" w:styleId="12">
    <w:name w:val="Body Text Indent 2"/>
    <w:basedOn w:val="1"/>
    <w:link w:val="37"/>
    <w:qFormat/>
    <w:uiPriority w:val="0"/>
    <w:pPr>
      <w:spacing w:after="120" w:line="480" w:lineRule="auto"/>
      <w:ind w:left="420" w:leftChars="200" w:firstLine="0" w:firstLineChars="0"/>
    </w:pPr>
  </w:style>
  <w:style w:type="paragraph" w:styleId="13">
    <w:name w:val="Balloon Text"/>
    <w:basedOn w:val="1"/>
    <w:link w:val="38"/>
    <w:qFormat/>
    <w:uiPriority w:val="0"/>
    <w:pPr>
      <w:spacing w:line="240" w:lineRule="auto"/>
    </w:pPr>
    <w:rPr>
      <w:sz w:val="24"/>
      <w:szCs w:val="18"/>
    </w:rPr>
  </w:style>
  <w:style w:type="paragraph" w:styleId="14">
    <w:name w:val="footer"/>
    <w:basedOn w:val="1"/>
    <w:link w:val="39"/>
    <w:qFormat/>
    <w:uiPriority w:val="0"/>
    <w:pPr>
      <w:tabs>
        <w:tab w:val="center" w:pos="4153"/>
        <w:tab w:val="right" w:pos="8306"/>
      </w:tabs>
      <w:snapToGrid w:val="0"/>
      <w:jc w:val="left"/>
    </w:pPr>
    <w:rPr>
      <w:sz w:val="18"/>
      <w:szCs w:val="18"/>
    </w:rPr>
  </w:style>
  <w:style w:type="paragraph" w:styleId="15">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18530"/>
      </w:tabs>
      <w:spacing w:line="360" w:lineRule="auto"/>
      <w:ind w:left="283" w:leftChars="135" w:firstLine="0" w:firstLineChars="0"/>
      <w:jc w:val="center"/>
    </w:pPr>
  </w:style>
  <w:style w:type="paragraph" w:styleId="17">
    <w:name w:val="toc 2"/>
    <w:basedOn w:val="1"/>
    <w:next w:val="1"/>
    <w:qFormat/>
    <w:uiPriority w:val="39"/>
    <w:pPr>
      <w:tabs>
        <w:tab w:val="right" w:leader="dot" w:pos="18530"/>
      </w:tabs>
      <w:spacing w:line="360" w:lineRule="auto"/>
      <w:ind w:left="5460" w:leftChars="2600" w:firstLine="0" w:firstLineChars="0"/>
    </w:pPr>
  </w:style>
  <w:style w:type="paragraph" w:styleId="18">
    <w:name w:val="Normal (Web)"/>
    <w:basedOn w:val="1"/>
    <w:unhideWhenUsed/>
    <w:qFormat/>
    <w:uiPriority w:val="0"/>
    <w:pPr>
      <w:spacing w:before="100" w:beforeAutospacing="1" w:after="100" w:afterAutospacing="1" w:line="240" w:lineRule="auto"/>
      <w:ind w:firstLine="0" w:firstLineChars="0"/>
      <w:jc w:val="left"/>
    </w:pPr>
    <w:rPr>
      <w:kern w:val="0"/>
      <w:sz w:val="24"/>
    </w:rPr>
  </w:style>
  <w:style w:type="paragraph" w:styleId="19">
    <w:name w:val="Title"/>
    <w:basedOn w:val="1"/>
    <w:next w:val="1"/>
    <w:link w:val="127"/>
    <w:qFormat/>
    <w:uiPriority w:val="0"/>
    <w:pPr>
      <w:spacing w:before="240" w:after="60"/>
      <w:jc w:val="center"/>
      <w:outlineLvl w:val="0"/>
    </w:pPr>
    <w:rPr>
      <w:rFonts w:asciiTheme="majorHAnsi" w:hAnsiTheme="majorHAnsi" w:eastAsiaTheme="majorEastAsia" w:cstheme="majorBidi"/>
      <w:b/>
      <w:bCs/>
      <w:sz w:val="32"/>
      <w:szCs w:val="32"/>
    </w:rPr>
  </w:style>
  <w:style w:type="paragraph" w:styleId="20">
    <w:name w:val="annotation subject"/>
    <w:basedOn w:val="7"/>
    <w:next w:val="7"/>
    <w:link w:val="41"/>
    <w:unhideWhenUsed/>
    <w:qFormat/>
    <w:uiPriority w:val="99"/>
    <w:pPr>
      <w:adjustRightInd/>
      <w:spacing w:line="240" w:lineRule="auto"/>
      <w:textAlignment w:val="auto"/>
    </w:pPr>
    <w:rPr>
      <w:b/>
      <w:bCs/>
      <w:kern w:val="2"/>
      <w:szCs w:val="24"/>
    </w:rPr>
  </w:style>
  <w:style w:type="paragraph" w:styleId="21">
    <w:name w:val="Body Text First Indent 2"/>
    <w:basedOn w:val="9"/>
    <w:link w:val="42"/>
    <w:qFormat/>
    <w:uiPriority w:val="0"/>
    <w:pPr>
      <w:spacing w:beforeLines="0" w:afterLines="0" w:line="240" w:lineRule="auto"/>
      <w:ind w:left="420" w:leftChars="200" w:firstLine="420"/>
    </w:pPr>
    <w:rPr>
      <w:sz w:val="21"/>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qFormat/>
    <w:uiPriority w:val="0"/>
  </w:style>
  <w:style w:type="character" w:styleId="26">
    <w:name w:val="FollowedHyperlink"/>
    <w:unhideWhenUsed/>
    <w:qFormat/>
    <w:uiPriority w:val="99"/>
    <w:rPr>
      <w:color w:val="800080"/>
      <w:u w:val="single"/>
    </w:rPr>
  </w:style>
  <w:style w:type="character" w:styleId="27">
    <w:name w:val="Hyperlink"/>
    <w:qFormat/>
    <w:uiPriority w:val="99"/>
    <w:rPr>
      <w:color w:val="0000FF"/>
      <w:u w:val="single"/>
    </w:rPr>
  </w:style>
  <w:style w:type="character" w:styleId="28">
    <w:name w:val="annotation reference"/>
    <w:unhideWhenUsed/>
    <w:qFormat/>
    <w:uiPriority w:val="99"/>
    <w:rPr>
      <w:sz w:val="21"/>
      <w:szCs w:val="21"/>
    </w:rPr>
  </w:style>
  <w:style w:type="character" w:customStyle="1" w:styleId="29">
    <w:name w:val="标题 1 Char"/>
    <w:link w:val="2"/>
    <w:qFormat/>
    <w:uiPriority w:val="0"/>
    <w:rPr>
      <w:b/>
      <w:bCs/>
      <w:kern w:val="44"/>
      <w:sz w:val="44"/>
      <w:szCs w:val="44"/>
    </w:rPr>
  </w:style>
  <w:style w:type="character" w:customStyle="1" w:styleId="30">
    <w:name w:val="标题 2 Char"/>
    <w:link w:val="3"/>
    <w:qFormat/>
    <w:uiPriority w:val="0"/>
    <w:rPr>
      <w:rFonts w:ascii="Arial" w:hAnsi="Arial" w:eastAsia="黑体"/>
      <w:b/>
      <w:bCs/>
      <w:kern w:val="2"/>
      <w:sz w:val="32"/>
      <w:szCs w:val="32"/>
      <w:lang w:val="en-US" w:eastAsia="zh-CN" w:bidi="ar-SA"/>
    </w:rPr>
  </w:style>
  <w:style w:type="character" w:customStyle="1" w:styleId="31">
    <w:name w:val="标题 3 Char"/>
    <w:link w:val="4"/>
    <w:qFormat/>
    <w:uiPriority w:val="0"/>
    <w:rPr>
      <w:b/>
      <w:bCs/>
      <w:kern w:val="2"/>
      <w:sz w:val="32"/>
      <w:szCs w:val="32"/>
    </w:rPr>
  </w:style>
  <w:style w:type="character" w:customStyle="1" w:styleId="32">
    <w:name w:val="文档结构图 Char"/>
    <w:link w:val="6"/>
    <w:qFormat/>
    <w:uiPriority w:val="0"/>
    <w:rPr>
      <w:rFonts w:ascii="宋体"/>
      <w:kern w:val="2"/>
      <w:sz w:val="18"/>
      <w:szCs w:val="18"/>
    </w:rPr>
  </w:style>
  <w:style w:type="character" w:customStyle="1" w:styleId="33">
    <w:name w:val="批注文字 Char"/>
    <w:link w:val="7"/>
    <w:qFormat/>
    <w:uiPriority w:val="0"/>
    <w:rPr>
      <w:sz w:val="21"/>
    </w:rPr>
  </w:style>
  <w:style w:type="character" w:customStyle="1" w:styleId="34">
    <w:name w:val="正文文本 Char"/>
    <w:link w:val="8"/>
    <w:qFormat/>
    <w:uiPriority w:val="0"/>
    <w:rPr>
      <w:kern w:val="2"/>
      <w:sz w:val="21"/>
      <w:szCs w:val="24"/>
    </w:rPr>
  </w:style>
  <w:style w:type="character" w:customStyle="1" w:styleId="35">
    <w:name w:val="正文文本缩进 Char"/>
    <w:link w:val="9"/>
    <w:qFormat/>
    <w:uiPriority w:val="0"/>
    <w:rPr>
      <w:kern w:val="2"/>
      <w:sz w:val="24"/>
      <w:szCs w:val="24"/>
    </w:rPr>
  </w:style>
  <w:style w:type="character" w:customStyle="1" w:styleId="36">
    <w:name w:val="纯文本 Char"/>
    <w:link w:val="11"/>
    <w:qFormat/>
    <w:uiPriority w:val="0"/>
    <w:rPr>
      <w:rFonts w:ascii="宋体" w:hAnsi="Courier New" w:eastAsia="宋体" w:cs="Courier New"/>
      <w:kern w:val="2"/>
      <w:sz w:val="21"/>
      <w:szCs w:val="21"/>
      <w:lang w:val="en-US" w:eastAsia="zh-CN" w:bidi="ar-SA"/>
    </w:rPr>
  </w:style>
  <w:style w:type="character" w:customStyle="1" w:styleId="37">
    <w:name w:val="正文文本缩进 2 Char"/>
    <w:link w:val="12"/>
    <w:qFormat/>
    <w:uiPriority w:val="0"/>
    <w:rPr>
      <w:kern w:val="2"/>
      <w:sz w:val="21"/>
      <w:szCs w:val="24"/>
    </w:rPr>
  </w:style>
  <w:style w:type="character" w:customStyle="1" w:styleId="38">
    <w:name w:val="批注框文本 Char"/>
    <w:link w:val="13"/>
    <w:qFormat/>
    <w:uiPriority w:val="0"/>
    <w:rPr>
      <w:kern w:val="2"/>
      <w:sz w:val="24"/>
      <w:szCs w:val="18"/>
    </w:rPr>
  </w:style>
  <w:style w:type="character" w:customStyle="1" w:styleId="39">
    <w:name w:val="页脚 Char"/>
    <w:link w:val="14"/>
    <w:qFormat/>
    <w:uiPriority w:val="99"/>
    <w:rPr>
      <w:kern w:val="2"/>
      <w:sz w:val="18"/>
      <w:szCs w:val="18"/>
    </w:rPr>
  </w:style>
  <w:style w:type="character" w:customStyle="1" w:styleId="40">
    <w:name w:val="页眉 Char"/>
    <w:link w:val="15"/>
    <w:qFormat/>
    <w:uiPriority w:val="99"/>
    <w:rPr>
      <w:kern w:val="2"/>
      <w:sz w:val="18"/>
      <w:szCs w:val="18"/>
    </w:rPr>
  </w:style>
  <w:style w:type="character" w:customStyle="1" w:styleId="41">
    <w:name w:val="批注主题 Char"/>
    <w:link w:val="20"/>
    <w:qFormat/>
    <w:uiPriority w:val="99"/>
    <w:rPr>
      <w:b/>
      <w:bCs/>
      <w:kern w:val="2"/>
      <w:sz w:val="21"/>
      <w:szCs w:val="24"/>
    </w:rPr>
  </w:style>
  <w:style w:type="character" w:customStyle="1" w:styleId="42">
    <w:name w:val="正文首行缩进 2 Char"/>
    <w:link w:val="21"/>
    <w:qFormat/>
    <w:uiPriority w:val="0"/>
    <w:rPr>
      <w:kern w:val="2"/>
      <w:sz w:val="21"/>
      <w:szCs w:val="24"/>
    </w:rPr>
  </w:style>
  <w:style w:type="paragraph" w:styleId="43">
    <w:name w:val="List Paragraph"/>
    <w:basedOn w:val="1"/>
    <w:qFormat/>
    <w:uiPriority w:val="99"/>
    <w:pPr>
      <w:spacing w:line="240" w:lineRule="auto"/>
      <w:ind w:firstLine="420"/>
    </w:pPr>
    <w:rPr>
      <w:rFonts w:ascii="Calibri" w:hAnsi="Calibri"/>
      <w:szCs w:val="22"/>
    </w:rPr>
  </w:style>
  <w:style w:type="character" w:customStyle="1" w:styleId="44">
    <w:name w:val="批注框文本 字符"/>
    <w:qFormat/>
    <w:uiPriority w:val="0"/>
    <w:rPr>
      <w:kern w:val="2"/>
      <w:sz w:val="18"/>
      <w:szCs w:val="18"/>
    </w:rPr>
  </w:style>
  <w:style w:type="paragraph" w:customStyle="1" w:styleId="45">
    <w:name w:val="p16"/>
    <w:basedOn w:val="1"/>
    <w:qFormat/>
    <w:uiPriority w:val="0"/>
    <w:pPr>
      <w:widowControl/>
      <w:spacing w:before="156" w:after="156" w:line="360" w:lineRule="auto"/>
      <w:ind w:firstLine="420" w:firstLineChars="0"/>
    </w:pPr>
    <w:rPr>
      <w:kern w:val="0"/>
      <w:sz w:val="24"/>
    </w:rPr>
  </w:style>
  <w:style w:type="paragraph" w:customStyle="1" w:styleId="46">
    <w:name w:val="p0"/>
    <w:basedOn w:val="1"/>
    <w:qFormat/>
    <w:uiPriority w:val="0"/>
    <w:pPr>
      <w:widowControl/>
      <w:spacing w:line="240" w:lineRule="auto"/>
      <w:ind w:firstLine="0" w:firstLineChars="0"/>
    </w:pPr>
    <w:rPr>
      <w:kern w:val="0"/>
      <w:szCs w:val="21"/>
    </w:rPr>
  </w:style>
  <w:style w:type="paragraph" w:customStyle="1" w:styleId="47">
    <w:name w:val="2"/>
    <w:basedOn w:val="1"/>
    <w:next w:val="9"/>
    <w:qFormat/>
    <w:uiPriority w:val="0"/>
    <w:pPr>
      <w:spacing w:beforeLines="50" w:afterLines="50" w:line="360" w:lineRule="auto"/>
      <w:ind w:firstLine="480"/>
    </w:pPr>
    <w:rPr>
      <w:sz w:val="24"/>
    </w:rPr>
  </w:style>
  <w:style w:type="paragraph" w:customStyle="1" w:styleId="48">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rFonts w:hint="eastAsia" w:ascii="幼圆" w:hAnsi="Arial Unicode MS" w:eastAsia="幼圆" w:cs="宋体"/>
      <w:kern w:val="0"/>
      <w:szCs w:val="21"/>
    </w:rPr>
  </w:style>
  <w:style w:type="paragraph" w:customStyle="1" w:styleId="49">
    <w:name w:val="1"/>
    <w:basedOn w:val="1"/>
    <w:next w:val="9"/>
    <w:qFormat/>
    <w:uiPriority w:val="0"/>
    <w:pPr>
      <w:spacing w:beforeLines="50" w:afterLines="50" w:line="360" w:lineRule="auto"/>
      <w:ind w:firstLine="480"/>
    </w:pPr>
    <w:rPr>
      <w:sz w:val="24"/>
    </w:rPr>
  </w:style>
  <w:style w:type="paragraph" w:customStyle="1" w:styleId="50">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51">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5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5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b/>
      <w:bCs/>
      <w:kern w:val="0"/>
      <w:sz w:val="20"/>
      <w:szCs w:val="20"/>
    </w:rPr>
  </w:style>
  <w:style w:type="paragraph" w:customStyle="1" w:styleId="5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5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5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FF0000"/>
      <w:kern w:val="0"/>
      <w:sz w:val="24"/>
    </w:rPr>
  </w:style>
  <w:style w:type="paragraph" w:customStyle="1" w:styleId="5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color w:val="FF0000"/>
      <w:kern w:val="0"/>
      <w:sz w:val="20"/>
      <w:szCs w:val="20"/>
    </w:rPr>
  </w:style>
  <w:style w:type="paragraph" w:customStyle="1" w:styleId="5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5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b/>
      <w:bCs/>
      <w:kern w:val="0"/>
      <w:sz w:val="20"/>
      <w:szCs w:val="20"/>
    </w:rPr>
  </w:style>
  <w:style w:type="paragraph" w:customStyle="1" w:styleId="60">
    <w:name w:val="xl87"/>
    <w:basedOn w:val="1"/>
    <w:qFormat/>
    <w:uiPriority w:val="0"/>
    <w:pPr>
      <w:widowControl/>
      <w:pBdr>
        <w:top w:val="single" w:color="auto" w:sz="4" w:space="0"/>
        <w:left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61">
    <w:name w:val="xl88"/>
    <w:basedOn w:val="1"/>
    <w:qFormat/>
    <w:uiPriority w:val="0"/>
    <w:pPr>
      <w:widowControl/>
      <w:pBdr>
        <w:left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62">
    <w:name w:val="xl89"/>
    <w:basedOn w:val="1"/>
    <w:qFormat/>
    <w:uiPriority w:val="0"/>
    <w:pPr>
      <w:widowControl/>
      <w:pBdr>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6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64">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6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6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color w:val="FF0000"/>
      <w:kern w:val="0"/>
      <w:sz w:val="24"/>
    </w:rPr>
  </w:style>
  <w:style w:type="paragraph" w:customStyle="1" w:styleId="67">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68">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69">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1">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2">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3">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4">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color w:val="FF0000"/>
      <w:kern w:val="0"/>
      <w:sz w:val="24"/>
    </w:rPr>
  </w:style>
  <w:style w:type="paragraph" w:customStyle="1" w:styleId="7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color w:val="FF0000"/>
      <w:kern w:val="0"/>
      <w:sz w:val="24"/>
    </w:rPr>
  </w:style>
  <w:style w:type="paragraph" w:customStyle="1" w:styleId="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7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0">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1">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2">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3">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4">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5">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6">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7">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88">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89">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90">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customStyle="1" w:styleId="91">
    <w:name w:val="xl118"/>
    <w:basedOn w:val="1"/>
    <w:qFormat/>
    <w:uiPriority w:val="0"/>
    <w:pPr>
      <w:widowControl/>
      <w:pBdr>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92">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textAlignment w:val="center"/>
    </w:pPr>
    <w:rPr>
      <w:rFonts w:ascii="黑体" w:hAnsi="黑体" w:eastAsia="黑体" w:cs="宋体"/>
      <w:color w:val="000000"/>
      <w:kern w:val="0"/>
      <w:sz w:val="20"/>
      <w:szCs w:val="20"/>
    </w:rPr>
  </w:style>
  <w:style w:type="paragraph" w:customStyle="1" w:styleId="93">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textAlignment w:val="center"/>
    </w:pPr>
    <w:rPr>
      <w:rFonts w:ascii="黑体" w:hAnsi="黑体" w:eastAsia="黑体" w:cs="宋体"/>
      <w:color w:val="000000"/>
      <w:kern w:val="0"/>
      <w:sz w:val="24"/>
    </w:rPr>
  </w:style>
  <w:style w:type="paragraph" w:customStyle="1" w:styleId="9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rPr>
  </w:style>
  <w:style w:type="paragraph" w:customStyle="1" w:styleId="9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b/>
      <w:bCs/>
      <w:kern w:val="0"/>
      <w:sz w:val="20"/>
      <w:szCs w:val="20"/>
    </w:rPr>
  </w:style>
  <w:style w:type="paragraph" w:customStyle="1" w:styleId="96">
    <w:name w:val="xl121"/>
    <w:basedOn w:val="1"/>
    <w:qFormat/>
    <w:uiPriority w:val="0"/>
    <w:pPr>
      <w:widowControl/>
      <w:pBdr>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9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8">
    <w:name w:val="xl122"/>
    <w:basedOn w:val="1"/>
    <w:qFormat/>
    <w:uiPriority w:val="0"/>
    <w:pPr>
      <w:widowControl/>
      <w:pBdr>
        <w:left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99">
    <w:name w:val="xl123"/>
    <w:basedOn w:val="1"/>
    <w:qFormat/>
    <w:uiPriority w:val="0"/>
    <w:pPr>
      <w:widowControl/>
      <w:pBdr>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0"/>
      <w:szCs w:val="20"/>
    </w:rPr>
  </w:style>
  <w:style w:type="paragraph" w:customStyle="1" w:styleId="100">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黑体" w:hAnsi="黑体" w:eastAsia="黑体" w:cs="宋体"/>
      <w:kern w:val="0"/>
      <w:sz w:val="24"/>
    </w:rPr>
  </w:style>
  <w:style w:type="paragraph" w:styleId="101">
    <w:name w:val="No Spacing"/>
    <w:link w:val="102"/>
    <w:qFormat/>
    <w:uiPriority w:val="1"/>
    <w:rPr>
      <w:rFonts w:ascii="Calibri" w:hAnsi="Calibri" w:eastAsia="宋体" w:cs="Times New Roman"/>
      <w:sz w:val="22"/>
      <w:szCs w:val="22"/>
      <w:lang w:val="en-US" w:eastAsia="zh-CN" w:bidi="ar-SA"/>
    </w:rPr>
  </w:style>
  <w:style w:type="character" w:customStyle="1" w:styleId="102">
    <w:name w:val="无间隔 Char"/>
    <w:link w:val="101"/>
    <w:qFormat/>
    <w:uiPriority w:val="1"/>
    <w:rPr>
      <w:rFonts w:ascii="Calibri" w:hAnsi="Calibri"/>
      <w:sz w:val="22"/>
      <w:szCs w:val="22"/>
    </w:rPr>
  </w:style>
  <w:style w:type="paragraph" w:customStyle="1" w:styleId="103">
    <w:name w:val="标题1 Char Char Char Char Char Char Char Char Char Char Char Char Char Char Char Char Char Char Char"/>
    <w:basedOn w:val="1"/>
    <w:qFormat/>
    <w:uiPriority w:val="0"/>
    <w:pPr>
      <w:tabs>
        <w:tab w:val="left" w:pos="360"/>
      </w:tabs>
      <w:spacing w:line="300" w:lineRule="auto"/>
      <w:ind w:firstLine="883"/>
    </w:pPr>
    <w:rPr>
      <w:rFonts w:ascii="黑体" w:eastAsia="黑体"/>
      <w:b/>
      <w:sz w:val="44"/>
      <w:szCs w:val="48"/>
    </w:rPr>
  </w:style>
  <w:style w:type="paragraph" w:customStyle="1" w:styleId="104">
    <w:name w:val="hm-正文"/>
    <w:basedOn w:val="1"/>
    <w:qFormat/>
    <w:uiPriority w:val="0"/>
    <w:pPr>
      <w:spacing w:beforeLines="50" w:afterLines="50" w:line="300" w:lineRule="auto"/>
      <w:ind w:firstLine="540" w:firstLineChars="257"/>
    </w:pPr>
  </w:style>
  <w:style w:type="paragraph" w:customStyle="1" w:styleId="10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table" w:customStyle="1" w:styleId="106">
    <w:name w:val="无格式表格 21"/>
    <w:basedOn w:val="22"/>
    <w:qFormat/>
    <w:uiPriority w:val="42"/>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top w:val="nil"/>
          <w:left w:val="nil"/>
          <w:bottom w:val="single" w:color="7F7F7F" w:sz="4" w:space="0"/>
          <w:right w:val="nil"/>
          <w:insideH w:val="nil"/>
          <w:insideV w:val="nil"/>
          <w:tl2br w:val="nil"/>
          <w:tr2bl w:val="nil"/>
        </w:tcBorders>
      </w:tcPr>
    </w:tblStylePr>
    <w:tblStylePr w:type="lastRow">
      <w:rPr>
        <w:b/>
        <w:bCs/>
      </w:rPr>
      <w:tcPr>
        <w:tcBorders>
          <w:top w:val="single" w:color="7F7F7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single" w:color="7F7F7F" w:sz="4" w:space="0"/>
          <w:bottom w:val="nil"/>
          <w:right w:val="single" w:color="7F7F7F" w:sz="4" w:space="0"/>
          <w:insideH w:val="nil"/>
          <w:insideV w:val="nil"/>
          <w:tl2br w:val="nil"/>
          <w:tr2bl w:val="nil"/>
        </w:tcBorders>
      </w:tcPr>
    </w:tblStylePr>
    <w:tblStylePr w:type="band2Vert">
      <w:tcPr>
        <w:tcBorders>
          <w:top w:val="nil"/>
          <w:left w:val="single" w:color="7F7F7F" w:sz="4" w:space="0"/>
          <w:bottom w:val="nil"/>
          <w:right w:val="single" w:color="7F7F7F" w:sz="4" w:space="0"/>
          <w:insideH w:val="nil"/>
          <w:insideV w:val="nil"/>
          <w:tl2br w:val="nil"/>
          <w:tr2bl w:val="nil"/>
        </w:tcBorders>
      </w:tcPr>
    </w:tblStylePr>
    <w:tblStylePr w:type="band1Horz">
      <w:tcPr>
        <w:tcBorders>
          <w:top w:val="single" w:color="7F7F7F" w:sz="4" w:space="0"/>
          <w:left w:val="nil"/>
          <w:bottom w:val="single" w:color="7F7F7F" w:sz="4" w:space="0"/>
          <w:right w:val="nil"/>
          <w:insideH w:val="nil"/>
          <w:insideV w:val="nil"/>
          <w:tl2br w:val="nil"/>
          <w:tr2bl w:val="nil"/>
        </w:tcBorders>
      </w:tcPr>
    </w:tblStylePr>
  </w:style>
  <w:style w:type="paragraph" w:customStyle="1" w:styleId="107">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customStyle="1" w:styleId="108">
    <w:name w:val="xl1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09">
    <w:name w:val="xl1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0">
    <w:name w:val="xl12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1">
    <w:name w:val="xl12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2">
    <w:name w:val="xl129"/>
    <w:basedOn w:val="1"/>
    <w:qFormat/>
    <w:uiPriority w:val="0"/>
    <w:pPr>
      <w:widowControl/>
      <w:pBdr>
        <w:top w:val="single" w:color="auto" w:sz="4" w:space="0"/>
        <w:left w:val="single" w:color="auto" w:sz="4" w:space="0"/>
        <w:bottom w:val="single" w:color="auto" w:sz="4" w:space="0"/>
      </w:pBdr>
      <w:shd w:val="clear" w:color="000000" w:fill="E6B8B7"/>
      <w:spacing w:before="100" w:beforeAutospacing="1" w:after="100" w:afterAutospacing="1" w:line="240" w:lineRule="auto"/>
      <w:ind w:firstLine="0" w:firstLineChars="0"/>
      <w:jc w:val="center"/>
      <w:textAlignment w:val="center"/>
    </w:pPr>
    <w:rPr>
      <w:rFonts w:ascii="宋体" w:hAnsi="宋体" w:cs="宋体"/>
      <w:kern w:val="0"/>
      <w:sz w:val="16"/>
      <w:szCs w:val="16"/>
    </w:rPr>
  </w:style>
  <w:style w:type="paragraph" w:customStyle="1" w:styleId="113">
    <w:name w:val="xl13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4">
    <w:name w:val="xl13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5">
    <w:name w:val="xl13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6">
    <w:name w:val="xl13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7">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8">
    <w:name w:val="xl13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19">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20">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21">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22">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23">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B7DEE8"/>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24">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E6B8B7"/>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paragraph" w:customStyle="1" w:styleId="125">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16"/>
      <w:szCs w:val="16"/>
    </w:rPr>
  </w:style>
  <w:style w:type="table" w:customStyle="1" w:styleId="126">
    <w:name w:val="无格式表格 211"/>
    <w:basedOn w:val="22"/>
    <w:qFormat/>
    <w:uiPriority w:val="42"/>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top w:val="nil"/>
          <w:left w:val="nil"/>
          <w:bottom w:val="single" w:color="7F7F7F" w:sz="4" w:space="0"/>
          <w:right w:val="nil"/>
          <w:insideH w:val="nil"/>
          <w:insideV w:val="nil"/>
          <w:tl2br w:val="nil"/>
          <w:tr2bl w:val="nil"/>
        </w:tcBorders>
      </w:tcPr>
    </w:tblStylePr>
    <w:tblStylePr w:type="lastRow">
      <w:rPr>
        <w:b/>
        <w:bCs/>
      </w:rPr>
      <w:tcPr>
        <w:tcBorders>
          <w:top w:val="single" w:color="7F7F7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single" w:color="7F7F7F" w:sz="4" w:space="0"/>
          <w:bottom w:val="nil"/>
          <w:right w:val="single" w:color="7F7F7F" w:sz="4" w:space="0"/>
          <w:insideH w:val="nil"/>
          <w:insideV w:val="nil"/>
          <w:tl2br w:val="nil"/>
          <w:tr2bl w:val="nil"/>
        </w:tcBorders>
      </w:tcPr>
    </w:tblStylePr>
    <w:tblStylePr w:type="band2Vert">
      <w:tcPr>
        <w:tcBorders>
          <w:top w:val="nil"/>
          <w:left w:val="single" w:color="7F7F7F" w:sz="4" w:space="0"/>
          <w:bottom w:val="nil"/>
          <w:right w:val="single" w:color="7F7F7F" w:sz="4" w:space="0"/>
          <w:insideH w:val="nil"/>
          <w:insideV w:val="nil"/>
          <w:tl2br w:val="nil"/>
          <w:tr2bl w:val="nil"/>
        </w:tcBorders>
      </w:tcPr>
    </w:tblStylePr>
    <w:tblStylePr w:type="band1Horz">
      <w:tcPr>
        <w:tcBorders>
          <w:top w:val="single" w:color="7F7F7F" w:sz="4" w:space="0"/>
          <w:left w:val="nil"/>
          <w:bottom w:val="single" w:color="7F7F7F" w:sz="4" w:space="0"/>
          <w:right w:val="nil"/>
          <w:insideH w:val="nil"/>
          <w:insideV w:val="nil"/>
          <w:tl2br w:val="nil"/>
          <w:tr2bl w:val="nil"/>
        </w:tcBorders>
      </w:tcPr>
    </w:tblStylePr>
  </w:style>
  <w:style w:type="character" w:customStyle="1" w:styleId="127">
    <w:name w:val="标题 Char"/>
    <w:basedOn w:val="24"/>
    <w:link w:val="19"/>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1327</Words>
  <Characters>846</Characters>
  <Lines>7</Lines>
  <Paragraphs>4</Paragraphs>
  <TotalTime>121</TotalTime>
  <ScaleCrop>false</ScaleCrop>
  <LinksUpToDate>false</LinksUpToDate>
  <CharactersWithSpaces>2169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2022-08-26T09:53:00Z</dcterms:created>
  <dc:creator>user06</dc:creator>
  <cp:lastModifiedBy>thtf</cp:lastModifiedBy>
  <cp:lastPrinted>2022-07-20T15:52:00Z</cp:lastPrinted>
  <dcterms:modified xsi:type="dcterms:W3CDTF">2022-08-26T15:37:13Z</dcterms:modified>
  <dc:title>海盐县澉浦镇临港工业区东北片区控制性详细规划 </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D6A896DD2CEE4EBB86859EA1E19B95B9</vt:lpwstr>
  </property>
</Properties>
</file>