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EA" w:rsidRPr="00A958EA" w:rsidRDefault="00A958EA" w:rsidP="00A958EA">
      <w:pPr>
        <w:overflowPunct w:val="0"/>
        <w:adjustRightInd w:val="0"/>
        <w:snapToGrid w:val="0"/>
        <w:ind w:firstLine="0"/>
        <w:jc w:val="left"/>
        <w:rPr>
          <w:rFonts w:ascii="黑体" w:eastAsia="黑体" w:hAnsi="黑体" w:cs="方正小标宋简体"/>
          <w:szCs w:val="44"/>
        </w:rPr>
      </w:pPr>
      <w:r w:rsidRPr="00A958EA">
        <w:rPr>
          <w:rFonts w:ascii="黑体" w:eastAsia="黑体" w:hAnsi="黑体" w:cs="方正小标宋简体" w:hint="eastAsia"/>
          <w:szCs w:val="44"/>
        </w:rPr>
        <w:t>附件</w:t>
      </w:r>
    </w:p>
    <w:p w:rsidR="00EC696C" w:rsidRPr="00CF0586" w:rsidRDefault="00407F56">
      <w:pPr>
        <w:overflowPunct w:val="0"/>
        <w:adjustRightInd w:val="0"/>
        <w:snapToGrid w:val="0"/>
        <w:ind w:firstLine="0"/>
        <w:jc w:val="center"/>
        <w:rPr>
          <w:rFonts w:ascii="Times New Roman" w:eastAsia="方正小标宋简体" w:cs="方正小标宋简体"/>
          <w:sz w:val="44"/>
          <w:szCs w:val="44"/>
        </w:rPr>
      </w:pPr>
      <w:r w:rsidRPr="00CF0586">
        <w:rPr>
          <w:rFonts w:ascii="Times New Roman" w:eastAsia="方正小标宋简体" w:cs="方正小标宋简体" w:hint="eastAsia"/>
          <w:sz w:val="44"/>
          <w:szCs w:val="44"/>
        </w:rPr>
        <w:t>嘉兴市人民政府关于加快建设</w:t>
      </w:r>
    </w:p>
    <w:p w:rsidR="00EC696C" w:rsidRPr="00CF0586" w:rsidRDefault="00407F56">
      <w:pPr>
        <w:overflowPunct w:val="0"/>
        <w:adjustRightInd w:val="0"/>
        <w:snapToGrid w:val="0"/>
        <w:ind w:firstLine="0"/>
        <w:jc w:val="center"/>
        <w:rPr>
          <w:rFonts w:ascii="Times New Roman" w:eastAsia="方正小标宋简体" w:cs="方正小标宋简体"/>
          <w:sz w:val="44"/>
          <w:szCs w:val="44"/>
        </w:rPr>
      </w:pPr>
      <w:r w:rsidRPr="00CF0586">
        <w:rPr>
          <w:rFonts w:ascii="Times New Roman" w:eastAsia="方正小标宋简体" w:cs="方正小标宋简体" w:hint="eastAsia"/>
          <w:sz w:val="44"/>
          <w:szCs w:val="44"/>
        </w:rPr>
        <w:t>长三角海河联运枢纽港的实施意见</w:t>
      </w:r>
    </w:p>
    <w:p w:rsidR="00B47684" w:rsidRPr="00CF0586" w:rsidRDefault="00B47684">
      <w:pPr>
        <w:overflowPunct w:val="0"/>
        <w:adjustRightInd w:val="0"/>
        <w:snapToGrid w:val="0"/>
        <w:ind w:firstLine="0"/>
        <w:jc w:val="center"/>
        <w:rPr>
          <w:rFonts w:ascii="楷体_GB2312" w:eastAsia="楷体_GB2312" w:cs="方正小标宋简体"/>
          <w:szCs w:val="44"/>
        </w:rPr>
      </w:pPr>
      <w:r w:rsidRPr="00CF0586">
        <w:rPr>
          <w:rFonts w:ascii="楷体_GB2312" w:eastAsia="楷体_GB2312" w:cs="方正小标宋简体" w:hint="eastAsia"/>
          <w:szCs w:val="44"/>
        </w:rPr>
        <w:t>（征求意见稿）</w:t>
      </w:r>
    </w:p>
    <w:p w:rsidR="00EC696C" w:rsidRPr="00CF0586" w:rsidRDefault="00EC696C">
      <w:pPr>
        <w:overflowPunct w:val="0"/>
        <w:adjustRightInd w:val="0"/>
        <w:snapToGrid w:val="0"/>
        <w:ind w:firstLine="0"/>
        <w:jc w:val="left"/>
        <w:rPr>
          <w:rFonts w:ascii="Times New Roman" w:eastAsia="宋体" w:cs="宋体"/>
          <w:kern w:val="0"/>
          <w:sz w:val="24"/>
          <w:szCs w:val="24"/>
        </w:rPr>
      </w:pP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为深入贯彻落实省委省政府关于交通强省、世界</w:t>
      </w:r>
      <w:proofErr w:type="gramStart"/>
      <w:r w:rsidRPr="00CF0586">
        <w:rPr>
          <w:rFonts w:ascii="Times New Roman" w:cs="Times New Roman" w:hint="eastAsia"/>
          <w:szCs w:val="32"/>
        </w:rPr>
        <w:t>一流强港建设</w:t>
      </w:r>
      <w:proofErr w:type="gramEnd"/>
      <w:r w:rsidRPr="00CF0586">
        <w:rPr>
          <w:rFonts w:ascii="Times New Roman" w:cs="Times New Roman" w:hint="eastAsia"/>
          <w:szCs w:val="32"/>
        </w:rPr>
        <w:t>等战略部署，充分发挥嘉兴区位优势和资源禀赋，共建长三角世界级港口群，加快构建现代综合</w:t>
      </w:r>
      <w:bookmarkStart w:id="0" w:name="_GoBack"/>
      <w:bookmarkEnd w:id="0"/>
      <w:r w:rsidRPr="00CF0586">
        <w:rPr>
          <w:rFonts w:ascii="Times New Roman" w:cs="Times New Roman" w:hint="eastAsia"/>
          <w:szCs w:val="32"/>
        </w:rPr>
        <w:t>交通运输体系，根据省交通强省建设领导小组办公室《支持嘉兴建设长三角海河联运枢纽港行动方案》（</w:t>
      </w:r>
      <w:proofErr w:type="gramStart"/>
      <w:r w:rsidRPr="00CF0586">
        <w:rPr>
          <w:rFonts w:ascii="Times New Roman" w:cs="Times New Roman" w:hint="eastAsia"/>
          <w:szCs w:val="32"/>
        </w:rPr>
        <w:t>浙交强省办</w:t>
      </w:r>
      <w:proofErr w:type="gramEnd"/>
      <w:r w:rsidRPr="00CF0586">
        <w:rPr>
          <w:rFonts w:ascii="Times New Roman" w:cs="Times New Roman" w:hint="eastAsia"/>
          <w:szCs w:val="32"/>
        </w:rPr>
        <w:t>〔</w:t>
      </w:r>
      <w:r w:rsidRPr="00CF0586">
        <w:rPr>
          <w:rFonts w:ascii="Times New Roman" w:cs="Times New Roman" w:hint="eastAsia"/>
          <w:szCs w:val="32"/>
        </w:rPr>
        <w:t>2021</w:t>
      </w:r>
      <w:r w:rsidRPr="00CF0586">
        <w:rPr>
          <w:rFonts w:ascii="Times New Roman" w:cs="Times New Roman" w:hint="eastAsia"/>
          <w:szCs w:val="32"/>
        </w:rPr>
        <w:t>〕</w:t>
      </w:r>
      <w:r w:rsidRPr="00CF0586">
        <w:rPr>
          <w:rFonts w:ascii="Times New Roman" w:cs="Times New Roman" w:hint="eastAsia"/>
          <w:szCs w:val="32"/>
        </w:rPr>
        <w:t>19</w:t>
      </w:r>
      <w:r w:rsidRPr="00CF0586">
        <w:rPr>
          <w:rFonts w:ascii="Times New Roman" w:cs="Times New Roman" w:hint="eastAsia"/>
          <w:szCs w:val="32"/>
        </w:rPr>
        <w:t>号），现就加快建设长三角海河联运枢纽港提出如下实施意见。</w:t>
      </w:r>
    </w:p>
    <w:p w:rsidR="00EC696C" w:rsidRPr="00CF0586" w:rsidRDefault="00407F56">
      <w:pPr>
        <w:overflowPunct w:val="0"/>
        <w:adjustRightInd w:val="0"/>
        <w:snapToGrid w:val="0"/>
        <w:ind w:firstLine="640"/>
        <w:rPr>
          <w:rFonts w:ascii="Times New Roman" w:eastAsia="黑体" w:cs="Times New Roman"/>
          <w:szCs w:val="32"/>
        </w:rPr>
      </w:pPr>
      <w:r w:rsidRPr="00CF0586">
        <w:rPr>
          <w:rFonts w:ascii="Times New Roman" w:eastAsia="黑体" w:cs="Times New Roman" w:hint="eastAsia"/>
          <w:szCs w:val="32"/>
        </w:rPr>
        <w:t>一、总体要求</w:t>
      </w:r>
    </w:p>
    <w:p w:rsidR="00EC696C" w:rsidRPr="00CF0586" w:rsidRDefault="00407F56">
      <w:pPr>
        <w:overflowPunct w:val="0"/>
        <w:adjustRightInd w:val="0"/>
        <w:snapToGrid w:val="0"/>
        <w:ind w:firstLineChars="200" w:firstLine="640"/>
        <w:rPr>
          <w:rFonts w:ascii="Times New Roman" w:eastAsia="楷体_GB2312" w:cs="Times New Roman"/>
          <w:szCs w:val="32"/>
        </w:rPr>
      </w:pPr>
      <w:r w:rsidRPr="00CF0586">
        <w:rPr>
          <w:rFonts w:ascii="Times New Roman" w:eastAsia="楷体_GB2312" w:cs="Times New Roman" w:hint="eastAsia"/>
          <w:szCs w:val="32"/>
        </w:rPr>
        <w:t>（一）指导思想</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坚持以习近平新时代中国特色社会主义思想为指导，全面贯彻党的十九大、十九届历次全会、</w:t>
      </w:r>
      <w:r w:rsidRPr="00CF0586">
        <w:rPr>
          <w:rFonts w:ascii="Times New Roman" w:cs="仿宋_GB2312" w:hint="eastAsia"/>
          <w:szCs w:val="32"/>
        </w:rPr>
        <w:t>省第十五次党代会和市第九次党代会精神，</w:t>
      </w:r>
      <w:r w:rsidRPr="00CF0586">
        <w:rPr>
          <w:rFonts w:ascii="Times New Roman" w:cs="Times New Roman" w:hint="eastAsia"/>
          <w:szCs w:val="32"/>
        </w:rPr>
        <w:t>落实新发展理念，构建新发展格局，大力弘扬红船精神，</w:t>
      </w:r>
      <w:r w:rsidRPr="00CF0586">
        <w:rPr>
          <w:rFonts w:ascii="Times New Roman" w:cs="Times New Roman" w:hint="eastAsia"/>
          <w:szCs w:val="24"/>
        </w:rPr>
        <w:t>牢牢把握交通“先行官”定位，</w:t>
      </w:r>
      <w:r w:rsidRPr="00CF0586">
        <w:rPr>
          <w:rFonts w:ascii="Times New Roman" w:cs="Times New Roman" w:hint="eastAsia"/>
          <w:szCs w:val="32"/>
        </w:rPr>
        <w:t>坚持战略引领、统筹谋划，坚持提质增效、融合协调，坚持海河一体、共同推进，坚持创新驱动、绿色低碳，努力将</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建设成为长三角海河联运枢纽港，高水平打造长三角核心区双循环黄金节点，把区位优势、资源禀赋变成经济发展的胜势，为服务高质量建设共同富裕示范区典范城市提供有力支撑，为</w:t>
      </w:r>
      <w:r w:rsidRPr="00CF0586">
        <w:rPr>
          <w:rFonts w:ascii="Times New Roman" w:cs="Times New Roman" w:hint="eastAsia"/>
          <w:szCs w:val="24"/>
        </w:rPr>
        <w:t>建成高水平交通强省</w:t>
      </w:r>
      <w:r w:rsidRPr="00CF0586">
        <w:rPr>
          <w:rFonts w:ascii="Times New Roman" w:cs="Times New Roman" w:hint="eastAsia"/>
          <w:szCs w:val="32"/>
        </w:rPr>
        <w:t>提供“嘉兴样板”。</w:t>
      </w:r>
    </w:p>
    <w:p w:rsidR="00EC696C" w:rsidRPr="00CF0586" w:rsidRDefault="00407F56">
      <w:pPr>
        <w:overflowPunct w:val="0"/>
        <w:adjustRightInd w:val="0"/>
        <w:snapToGrid w:val="0"/>
        <w:ind w:firstLine="640"/>
        <w:rPr>
          <w:rFonts w:ascii="Times New Roman" w:eastAsia="楷体_GB2312" w:cs="Times New Roman"/>
          <w:szCs w:val="32"/>
        </w:rPr>
      </w:pPr>
      <w:r w:rsidRPr="00CF0586">
        <w:rPr>
          <w:rFonts w:ascii="Times New Roman" w:eastAsia="楷体_GB2312" w:cs="Times New Roman" w:hint="eastAsia"/>
          <w:szCs w:val="32"/>
        </w:rPr>
        <w:t>（二）总体布局</w:t>
      </w:r>
    </w:p>
    <w:p w:rsidR="00EC696C" w:rsidRPr="00CF0586" w:rsidRDefault="00407F56">
      <w:pPr>
        <w:overflowPunct w:val="0"/>
        <w:adjustRightInd w:val="0"/>
        <w:snapToGrid w:val="0"/>
        <w:ind w:firstLineChars="200" w:firstLine="640"/>
        <w:rPr>
          <w:rFonts w:ascii="Times New Roman" w:cs="Times New Roman"/>
          <w:snapToGrid w:val="0"/>
          <w:spacing w:val="-4"/>
          <w:kern w:val="0"/>
          <w:szCs w:val="32"/>
        </w:rPr>
      </w:pPr>
      <w:r w:rsidRPr="00CF0586">
        <w:rPr>
          <w:rFonts w:ascii="Times New Roman" w:cs="Times New Roman" w:hint="eastAsia"/>
          <w:szCs w:val="32"/>
        </w:rPr>
        <w:lastRenderedPageBreak/>
        <w:t>嘉</w:t>
      </w:r>
      <w:r w:rsidRPr="00CF0586">
        <w:rPr>
          <w:rFonts w:ascii="Times New Roman" w:cs="Times New Roman" w:hint="eastAsia"/>
          <w:snapToGrid w:val="0"/>
          <w:spacing w:val="-4"/>
          <w:kern w:val="0"/>
          <w:szCs w:val="32"/>
        </w:rPr>
        <w:t>兴建设长三角海河联运枢纽港总体布局为“</w:t>
      </w:r>
      <w:proofErr w:type="gramStart"/>
      <w:r w:rsidRPr="00CF0586">
        <w:rPr>
          <w:rFonts w:ascii="Times New Roman" w:cs="Times New Roman" w:hint="eastAsia"/>
          <w:snapToGrid w:val="0"/>
          <w:spacing w:val="-4"/>
          <w:kern w:val="0"/>
          <w:szCs w:val="32"/>
        </w:rPr>
        <w:t>一</w:t>
      </w:r>
      <w:proofErr w:type="gramEnd"/>
      <w:r w:rsidRPr="00CF0586">
        <w:rPr>
          <w:rFonts w:ascii="Times New Roman" w:cs="Times New Roman" w:hint="eastAsia"/>
          <w:snapToGrid w:val="0"/>
          <w:spacing w:val="-4"/>
          <w:kern w:val="0"/>
          <w:szCs w:val="32"/>
        </w:rPr>
        <w:t>枢纽、十通道、八联”。“一枢纽”为长三角海河联运枢纽，“十通道”为两大近洋通道（东北亚、东南亚）、三大国内通道（长江经济带、华北、华南）、五大长三角内河通道（杭嘉湖和安徽通道、钱塘江中上游和江西通道、杭甬运河沿线通道、江苏通道、上海通道），“八联”为八大海河联运作业区。</w:t>
      </w:r>
    </w:p>
    <w:p w:rsidR="00EC696C" w:rsidRPr="00CF0586" w:rsidRDefault="00407F56">
      <w:pPr>
        <w:overflowPunct w:val="0"/>
        <w:adjustRightInd w:val="0"/>
        <w:snapToGrid w:val="0"/>
        <w:ind w:firstLine="640"/>
        <w:rPr>
          <w:rFonts w:ascii="Times New Roman" w:eastAsia="楷体_GB2312" w:cs="Times New Roman"/>
          <w:szCs w:val="32"/>
        </w:rPr>
      </w:pPr>
      <w:r w:rsidRPr="00CF0586">
        <w:rPr>
          <w:rFonts w:ascii="Times New Roman" w:eastAsia="楷体_GB2312" w:cs="Times New Roman" w:hint="eastAsia"/>
          <w:szCs w:val="32"/>
        </w:rPr>
        <w:t>（三）发展目标</w:t>
      </w:r>
    </w:p>
    <w:p w:rsidR="00EC696C" w:rsidRPr="00CF0586" w:rsidRDefault="00363921">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2022</w:t>
      </w:r>
      <w:r w:rsidRPr="00CF0586">
        <w:rPr>
          <w:rFonts w:ascii="Times New Roman" w:cs="Times New Roman" w:hint="eastAsia"/>
          <w:szCs w:val="32"/>
        </w:rPr>
        <w:t>年，完成集装箱吞吐量超</w:t>
      </w:r>
      <w:r w:rsidRPr="00CF0586">
        <w:rPr>
          <w:rFonts w:ascii="Times New Roman" w:cs="Times New Roman" w:hint="eastAsia"/>
          <w:szCs w:val="32"/>
        </w:rPr>
        <w:t>250</w:t>
      </w:r>
      <w:r w:rsidRPr="00CF0586">
        <w:rPr>
          <w:rFonts w:ascii="Times New Roman" w:cs="Times New Roman" w:hint="eastAsia"/>
          <w:szCs w:val="32"/>
        </w:rPr>
        <w:t>万标箱、同比增长超</w:t>
      </w:r>
      <w:r w:rsidRPr="00CF0586">
        <w:rPr>
          <w:rFonts w:ascii="Times New Roman" w:cs="Times New Roman" w:hint="eastAsia"/>
          <w:szCs w:val="32"/>
        </w:rPr>
        <w:t>20%</w:t>
      </w:r>
      <w:r w:rsidR="00171891" w:rsidRPr="00CF0586">
        <w:rPr>
          <w:rFonts w:ascii="Times New Roman" w:cs="Times New Roman" w:hint="eastAsia"/>
          <w:szCs w:val="32"/>
        </w:rPr>
        <w:t>，</w:t>
      </w:r>
      <w:r w:rsidRPr="00CF0586">
        <w:rPr>
          <w:rFonts w:ascii="Times New Roman" w:cs="Times New Roman" w:hint="eastAsia"/>
          <w:szCs w:val="32"/>
        </w:rPr>
        <w:t>完成集装箱海河联运</w:t>
      </w:r>
      <w:r w:rsidRPr="00CF0586">
        <w:rPr>
          <w:rFonts w:ascii="Times New Roman" w:cs="Times New Roman" w:hint="eastAsia"/>
          <w:szCs w:val="32"/>
        </w:rPr>
        <w:t>75</w:t>
      </w:r>
      <w:r w:rsidRPr="00CF0586">
        <w:rPr>
          <w:rFonts w:ascii="Times New Roman" w:cs="Times New Roman" w:hint="eastAsia"/>
          <w:szCs w:val="32"/>
        </w:rPr>
        <w:t>万标箱、同比增长</w:t>
      </w:r>
      <w:r w:rsidRPr="00CF0586">
        <w:rPr>
          <w:rFonts w:ascii="Times New Roman" w:cs="Times New Roman" w:hint="eastAsia"/>
          <w:szCs w:val="32"/>
        </w:rPr>
        <w:t>43%</w:t>
      </w:r>
      <w:r w:rsidR="00171891" w:rsidRPr="00CF0586">
        <w:rPr>
          <w:rFonts w:ascii="Times New Roman" w:cs="Times New Roman" w:hint="eastAsia"/>
          <w:szCs w:val="32"/>
        </w:rPr>
        <w:t>，</w:t>
      </w:r>
      <w:r w:rsidRPr="00CF0586">
        <w:rPr>
          <w:rFonts w:ascii="Times New Roman" w:cs="Times New Roman" w:hint="eastAsia"/>
          <w:szCs w:val="32"/>
        </w:rPr>
        <w:t>以千吨级航道为支撑，以内河及沿海专业化码头为支点的长三角海河联运枢纽地位基本确立。</w:t>
      </w:r>
      <w:r w:rsidR="00407F56" w:rsidRPr="00CF0586">
        <w:rPr>
          <w:rFonts w:ascii="Times New Roman" w:cs="Times New Roman" w:hint="eastAsia"/>
          <w:szCs w:val="32"/>
        </w:rPr>
        <w:t>到</w:t>
      </w:r>
      <w:r w:rsidR="00407F56" w:rsidRPr="00CF0586">
        <w:rPr>
          <w:rFonts w:ascii="Times New Roman" w:cs="Times New Roman" w:hint="eastAsia"/>
          <w:szCs w:val="32"/>
        </w:rPr>
        <w:t>2025</w:t>
      </w:r>
      <w:r w:rsidR="00407F56" w:rsidRPr="00CF0586">
        <w:rPr>
          <w:rFonts w:ascii="Times New Roman" w:cs="Times New Roman" w:hint="eastAsia"/>
          <w:szCs w:val="32"/>
        </w:rPr>
        <w:t>年，高质量完成交通强省建设试点，港航基础设施显著提升，港口服务环境明显改善，智慧绿色发展水平大幅跃升，基本建成绿色现代、保障有力、运行高效、海河一体的长三角地区海河联运枢纽港。</w:t>
      </w:r>
      <w:proofErr w:type="gramStart"/>
      <w:r w:rsidR="00407F56" w:rsidRPr="00CF0586">
        <w:rPr>
          <w:rFonts w:ascii="Times New Roman" w:cs="Times New Roman" w:hint="eastAsia"/>
          <w:szCs w:val="32"/>
        </w:rPr>
        <w:t>嘉兴港</w:t>
      </w:r>
      <w:proofErr w:type="gramEnd"/>
      <w:r w:rsidR="00407F56" w:rsidRPr="00CF0586">
        <w:rPr>
          <w:rFonts w:ascii="Times New Roman" w:cs="Times New Roman" w:hint="eastAsia"/>
          <w:szCs w:val="32"/>
        </w:rPr>
        <w:t>集装箱海河联运吞吐量突破</w:t>
      </w:r>
      <w:r w:rsidR="00407F56" w:rsidRPr="00CF0586">
        <w:rPr>
          <w:rFonts w:ascii="Times New Roman" w:cs="Times New Roman" w:hint="eastAsia"/>
          <w:szCs w:val="32"/>
        </w:rPr>
        <w:t>160</w:t>
      </w:r>
      <w:r w:rsidR="00407F56" w:rsidRPr="00CF0586">
        <w:rPr>
          <w:rFonts w:ascii="Times New Roman" w:cs="Times New Roman" w:hint="eastAsia"/>
          <w:szCs w:val="32"/>
        </w:rPr>
        <w:t>万标箱、比</w:t>
      </w:r>
      <w:r w:rsidR="00407F56" w:rsidRPr="00CF0586">
        <w:rPr>
          <w:rFonts w:ascii="Times New Roman" w:cs="Times New Roman" w:hint="eastAsia"/>
          <w:szCs w:val="32"/>
        </w:rPr>
        <w:t>2020</w:t>
      </w:r>
      <w:r w:rsidR="00407F56" w:rsidRPr="00CF0586">
        <w:rPr>
          <w:rFonts w:ascii="Times New Roman" w:cs="Times New Roman" w:hint="eastAsia"/>
          <w:szCs w:val="32"/>
        </w:rPr>
        <w:t>年增长</w:t>
      </w:r>
      <w:r w:rsidR="00407F56" w:rsidRPr="00CF0586">
        <w:rPr>
          <w:rFonts w:ascii="Times New Roman" w:cs="Times New Roman" w:hint="eastAsia"/>
          <w:szCs w:val="32"/>
        </w:rPr>
        <w:t>300%</w:t>
      </w:r>
      <w:r w:rsidR="00407F56" w:rsidRPr="00CF0586">
        <w:rPr>
          <w:rFonts w:ascii="Times New Roman" w:cs="Times New Roman" w:hint="eastAsia"/>
          <w:szCs w:val="32"/>
        </w:rPr>
        <w:t>以上，带动</w:t>
      </w:r>
      <w:proofErr w:type="gramStart"/>
      <w:r w:rsidR="00407F56" w:rsidRPr="00CF0586">
        <w:rPr>
          <w:rFonts w:ascii="Times New Roman" w:cs="Times New Roman" w:hint="eastAsia"/>
          <w:szCs w:val="32"/>
        </w:rPr>
        <w:t>嘉兴港</w:t>
      </w:r>
      <w:proofErr w:type="gramEnd"/>
      <w:r w:rsidR="00407F56" w:rsidRPr="00CF0586">
        <w:rPr>
          <w:rFonts w:ascii="Times New Roman" w:cs="Times New Roman" w:hint="eastAsia"/>
          <w:szCs w:val="32"/>
        </w:rPr>
        <w:t>货物吞吐量超</w:t>
      </w:r>
      <w:r w:rsidR="00407F56" w:rsidRPr="00CF0586">
        <w:rPr>
          <w:rFonts w:ascii="Times New Roman" w:cs="Times New Roman" w:hint="eastAsia"/>
          <w:szCs w:val="32"/>
        </w:rPr>
        <w:t>1.5</w:t>
      </w:r>
      <w:r w:rsidR="00407F56" w:rsidRPr="00CF0586">
        <w:rPr>
          <w:rFonts w:ascii="Times New Roman" w:cs="Times New Roman" w:hint="eastAsia"/>
          <w:szCs w:val="32"/>
        </w:rPr>
        <w:t>亿吨、比</w:t>
      </w:r>
      <w:r w:rsidR="00407F56" w:rsidRPr="00CF0586">
        <w:rPr>
          <w:rFonts w:ascii="Times New Roman" w:cs="Times New Roman" w:hint="eastAsia"/>
          <w:szCs w:val="32"/>
        </w:rPr>
        <w:t>2020</w:t>
      </w:r>
      <w:r w:rsidR="00407F56" w:rsidRPr="00CF0586">
        <w:rPr>
          <w:rFonts w:ascii="Times New Roman" w:cs="Times New Roman" w:hint="eastAsia"/>
          <w:szCs w:val="32"/>
        </w:rPr>
        <w:t>年增长</w:t>
      </w:r>
      <w:r w:rsidR="00407F56" w:rsidRPr="00CF0586">
        <w:rPr>
          <w:rFonts w:ascii="Times New Roman" w:cs="Times New Roman" w:hint="eastAsia"/>
          <w:szCs w:val="32"/>
        </w:rPr>
        <w:t>30%</w:t>
      </w:r>
      <w:r w:rsidR="00407F56" w:rsidRPr="00CF0586">
        <w:rPr>
          <w:rFonts w:ascii="Times New Roman" w:cs="Times New Roman" w:hint="eastAsia"/>
          <w:szCs w:val="32"/>
        </w:rPr>
        <w:t>以上，集装箱吞吐量超</w:t>
      </w:r>
      <w:r w:rsidR="00407F56" w:rsidRPr="00CF0586">
        <w:rPr>
          <w:rFonts w:ascii="Times New Roman" w:cs="Times New Roman" w:hint="eastAsia"/>
          <w:szCs w:val="32"/>
        </w:rPr>
        <w:t>500</w:t>
      </w:r>
      <w:r w:rsidR="00407F56" w:rsidRPr="00CF0586">
        <w:rPr>
          <w:rFonts w:ascii="Times New Roman" w:cs="Times New Roman" w:hint="eastAsia"/>
          <w:szCs w:val="32"/>
        </w:rPr>
        <w:t>万标箱、比</w:t>
      </w:r>
      <w:r w:rsidR="00407F56" w:rsidRPr="00CF0586">
        <w:rPr>
          <w:rFonts w:ascii="Times New Roman" w:cs="Times New Roman" w:hint="eastAsia"/>
          <w:szCs w:val="32"/>
        </w:rPr>
        <w:t>2020</w:t>
      </w:r>
      <w:r w:rsidR="00407F56" w:rsidRPr="00CF0586">
        <w:rPr>
          <w:rFonts w:ascii="Times New Roman" w:cs="Times New Roman" w:hint="eastAsia"/>
          <w:szCs w:val="32"/>
        </w:rPr>
        <w:t>年增长</w:t>
      </w:r>
      <w:r w:rsidR="00407F56" w:rsidRPr="00CF0586">
        <w:rPr>
          <w:rFonts w:ascii="Times New Roman" w:cs="Times New Roman" w:hint="eastAsia"/>
          <w:szCs w:val="32"/>
        </w:rPr>
        <w:t>150%</w:t>
      </w:r>
      <w:r w:rsidR="00407F56" w:rsidRPr="00CF0586">
        <w:rPr>
          <w:rFonts w:ascii="Times New Roman" w:cs="Times New Roman" w:hint="eastAsia"/>
          <w:szCs w:val="32"/>
        </w:rPr>
        <w:t>以上，力争进入全国前</w:t>
      </w:r>
      <w:r w:rsidR="00407F56" w:rsidRPr="00CF0586">
        <w:rPr>
          <w:rFonts w:ascii="Times New Roman" w:cs="Times New Roman" w:hint="eastAsia"/>
          <w:szCs w:val="32"/>
        </w:rPr>
        <w:t>10</w:t>
      </w:r>
      <w:r w:rsidR="00407F56" w:rsidRPr="00CF0586">
        <w:rPr>
          <w:rFonts w:ascii="Times New Roman" w:cs="Times New Roman" w:hint="eastAsia"/>
          <w:szCs w:val="32"/>
        </w:rPr>
        <w:t>、全球前</w:t>
      </w:r>
      <w:r w:rsidR="00407F56" w:rsidRPr="00CF0586">
        <w:rPr>
          <w:rFonts w:ascii="Times New Roman" w:cs="Times New Roman" w:hint="eastAsia"/>
          <w:szCs w:val="32"/>
        </w:rPr>
        <w:t>30</w:t>
      </w:r>
      <w:r w:rsidR="00407F56" w:rsidRPr="00CF0586">
        <w:rPr>
          <w:rFonts w:ascii="Times New Roman" w:cs="Times New Roman" w:hint="eastAsia"/>
          <w:szCs w:val="32"/>
        </w:rPr>
        <w:t>以内，海河联运枢纽建设取得可推广经验，形成“嘉兴样板”，引领全国海河联运高质量发展。</w:t>
      </w:r>
    </w:p>
    <w:p w:rsidR="00EC696C" w:rsidRPr="00CF0586" w:rsidRDefault="00407F56">
      <w:pPr>
        <w:overflowPunct w:val="0"/>
        <w:adjustRightInd w:val="0"/>
        <w:snapToGrid w:val="0"/>
        <w:ind w:firstLineChars="200" w:firstLine="640"/>
        <w:rPr>
          <w:rFonts w:ascii="Times New Roman" w:eastAsia="黑体" w:cs="Times New Roman"/>
          <w:szCs w:val="32"/>
        </w:rPr>
      </w:pPr>
      <w:r w:rsidRPr="00CF0586">
        <w:rPr>
          <w:rFonts w:ascii="Times New Roman" w:eastAsia="黑体" w:cs="Times New Roman" w:hint="eastAsia"/>
          <w:szCs w:val="32"/>
        </w:rPr>
        <w:t>二、主要任务</w:t>
      </w:r>
    </w:p>
    <w:p w:rsidR="00EC696C" w:rsidRPr="00CF0586" w:rsidRDefault="00407F56">
      <w:pPr>
        <w:overflowPunct w:val="0"/>
        <w:adjustRightInd w:val="0"/>
        <w:snapToGrid w:val="0"/>
        <w:ind w:firstLineChars="200" w:firstLine="640"/>
        <w:rPr>
          <w:rFonts w:ascii="Times New Roman" w:eastAsia="楷体_GB2312" w:cs="Times New Roman"/>
          <w:szCs w:val="32"/>
        </w:rPr>
      </w:pPr>
      <w:r w:rsidRPr="00CF0586">
        <w:rPr>
          <w:rFonts w:ascii="Times New Roman" w:eastAsia="楷体_GB2312" w:cs="Times New Roman" w:hint="eastAsia"/>
          <w:szCs w:val="32"/>
        </w:rPr>
        <w:t>（一）畅通海河联运内外通道</w:t>
      </w:r>
    </w:p>
    <w:p w:rsidR="00EC696C" w:rsidRPr="00CF0586" w:rsidRDefault="00407F56">
      <w:pPr>
        <w:overflowPunct w:val="0"/>
        <w:adjustRightInd w:val="0"/>
        <w:snapToGrid w:val="0"/>
        <w:ind w:firstLineChars="200" w:firstLine="640"/>
        <w:rPr>
          <w:rFonts w:ascii="Times New Roman" w:cs="Times New Roman"/>
          <w:snapToGrid w:val="0"/>
          <w:spacing w:val="-2"/>
          <w:kern w:val="0"/>
          <w:szCs w:val="32"/>
        </w:rPr>
      </w:pPr>
      <w:r w:rsidRPr="00CF0586">
        <w:rPr>
          <w:rFonts w:ascii="Times New Roman" w:cs="Times New Roman" w:hint="eastAsia"/>
          <w:szCs w:val="32"/>
        </w:rPr>
        <w:t>1.</w:t>
      </w:r>
      <w:r w:rsidRPr="00CF0586">
        <w:rPr>
          <w:rFonts w:ascii="Times New Roman" w:cs="Times New Roman" w:hint="eastAsia"/>
          <w:szCs w:val="32"/>
        </w:rPr>
        <w:t>提升长三角内河千吨级航道网。</w:t>
      </w:r>
      <w:r w:rsidRPr="00CF0586">
        <w:rPr>
          <w:rFonts w:ascii="Times New Roman" w:cs="Times New Roman" w:hint="eastAsia"/>
          <w:snapToGrid w:val="0"/>
          <w:spacing w:val="-2"/>
          <w:kern w:val="0"/>
          <w:szCs w:val="32"/>
        </w:rPr>
        <w:t>以长三角区域一体化发展为契机，围绕嘉兴“三横三纵”国家高等级航道网布局，</w:t>
      </w:r>
      <w:r w:rsidRPr="00CF0586">
        <w:rPr>
          <w:rFonts w:ascii="Times New Roman" w:cs="Times New Roman" w:hint="eastAsia"/>
          <w:snapToGrid w:val="0"/>
          <w:spacing w:val="-2"/>
          <w:kern w:val="0"/>
          <w:szCs w:val="32"/>
        </w:rPr>
        <w:lastRenderedPageBreak/>
        <w:t>重点建成“三横”中的</w:t>
      </w:r>
      <w:proofErr w:type="gramStart"/>
      <w:r w:rsidRPr="00CF0586">
        <w:rPr>
          <w:rFonts w:ascii="Times New Roman" w:cs="Times New Roman" w:hint="eastAsia"/>
          <w:snapToGrid w:val="0"/>
          <w:spacing w:val="-2"/>
          <w:kern w:val="0"/>
          <w:szCs w:val="32"/>
        </w:rPr>
        <w:t>湖嘉申线嘉兴</w:t>
      </w:r>
      <w:proofErr w:type="gramEnd"/>
      <w:r w:rsidRPr="00CF0586">
        <w:rPr>
          <w:rFonts w:ascii="Times New Roman" w:cs="Times New Roman" w:hint="eastAsia"/>
          <w:snapToGrid w:val="0"/>
          <w:spacing w:val="-2"/>
          <w:kern w:val="0"/>
          <w:szCs w:val="32"/>
        </w:rPr>
        <w:t>段二期，开工建设</w:t>
      </w:r>
      <w:proofErr w:type="gramStart"/>
      <w:r w:rsidRPr="00CF0586">
        <w:rPr>
          <w:rFonts w:ascii="Times New Roman" w:cs="Times New Roman" w:hint="eastAsia"/>
          <w:snapToGrid w:val="0"/>
          <w:spacing w:val="-2"/>
          <w:kern w:val="0"/>
          <w:szCs w:val="32"/>
        </w:rPr>
        <w:t>杭申线</w:t>
      </w:r>
      <w:proofErr w:type="gramEnd"/>
      <w:r w:rsidRPr="00CF0586">
        <w:rPr>
          <w:rFonts w:ascii="Times New Roman" w:cs="Times New Roman" w:hint="eastAsia"/>
          <w:snapToGrid w:val="0"/>
          <w:spacing w:val="-2"/>
          <w:kern w:val="0"/>
          <w:szCs w:val="32"/>
        </w:rPr>
        <w:t>等航道，畅通嘉兴千吨级内河航道网络，提高长三角省际航道通过能力；建成浙北高等级航道网集装箱运输通道建设工程嘉兴段，</w:t>
      </w:r>
      <w:r w:rsidRPr="00CF0586">
        <w:rPr>
          <w:rFonts w:ascii="Times New Roman" w:cs="Times New Roman" w:hint="eastAsia"/>
          <w:snapToGrid w:val="0"/>
          <w:spacing w:val="-2"/>
          <w:kern w:val="0"/>
          <w:szCs w:val="32"/>
        </w:rPr>
        <w:t>2023</w:t>
      </w:r>
      <w:r w:rsidRPr="00CF0586">
        <w:rPr>
          <w:rFonts w:ascii="Times New Roman" w:cs="Times New Roman" w:hint="eastAsia"/>
          <w:snapToGrid w:val="0"/>
          <w:spacing w:val="-2"/>
          <w:kern w:val="0"/>
          <w:szCs w:val="32"/>
        </w:rPr>
        <w:t>年底拆除相关航道上的不达标桥梁，</w:t>
      </w:r>
      <w:r w:rsidRPr="00CF0586">
        <w:rPr>
          <w:rFonts w:ascii="Times New Roman" w:cs="Times New Roman" w:hint="eastAsia"/>
          <w:snapToGrid w:val="0"/>
          <w:spacing w:val="-2"/>
          <w:kern w:val="0"/>
          <w:szCs w:val="32"/>
        </w:rPr>
        <w:t>2024</w:t>
      </w:r>
      <w:r w:rsidRPr="00CF0586">
        <w:rPr>
          <w:rFonts w:ascii="Times New Roman" w:cs="Times New Roman" w:hint="eastAsia"/>
          <w:snapToGrid w:val="0"/>
          <w:spacing w:val="-2"/>
          <w:kern w:val="0"/>
          <w:szCs w:val="32"/>
        </w:rPr>
        <w:t>年底形成通往</w:t>
      </w:r>
      <w:proofErr w:type="gramStart"/>
      <w:r w:rsidRPr="00CF0586">
        <w:rPr>
          <w:rFonts w:ascii="Times New Roman" w:cs="Times New Roman" w:hint="eastAsia"/>
          <w:snapToGrid w:val="0"/>
          <w:spacing w:val="-2"/>
          <w:kern w:val="0"/>
          <w:szCs w:val="32"/>
        </w:rPr>
        <w:t>嘉兴港</w:t>
      </w:r>
      <w:proofErr w:type="gramEnd"/>
      <w:r w:rsidRPr="00CF0586">
        <w:rPr>
          <w:rFonts w:ascii="Times New Roman" w:cs="Times New Roman" w:hint="eastAsia"/>
          <w:snapToGrid w:val="0"/>
          <w:spacing w:val="-2"/>
          <w:kern w:val="0"/>
          <w:szCs w:val="32"/>
        </w:rPr>
        <w:t>的可通行三层集装箱的浙北高等级航道网集装箱运输主通道，提高海河联运运输能力。加快推进“三纵”中</w:t>
      </w:r>
      <w:proofErr w:type="gramStart"/>
      <w:r w:rsidRPr="00CF0586">
        <w:rPr>
          <w:rFonts w:ascii="Times New Roman" w:cs="Times New Roman" w:hint="eastAsia"/>
          <w:snapToGrid w:val="0"/>
          <w:spacing w:val="-2"/>
          <w:kern w:val="0"/>
          <w:szCs w:val="32"/>
        </w:rPr>
        <w:t>乍嘉苏</w:t>
      </w:r>
      <w:proofErr w:type="gramEnd"/>
      <w:r w:rsidRPr="00CF0586">
        <w:rPr>
          <w:rFonts w:ascii="Times New Roman" w:cs="Times New Roman" w:hint="eastAsia"/>
          <w:snapToGrid w:val="0"/>
          <w:spacing w:val="-2"/>
          <w:kern w:val="0"/>
          <w:szCs w:val="32"/>
        </w:rPr>
        <w:t>线航道前期工作，谋划推进京杭运河二通道北延段、</w:t>
      </w:r>
      <w:proofErr w:type="gramStart"/>
      <w:r w:rsidRPr="00CF0586">
        <w:rPr>
          <w:rFonts w:ascii="Times New Roman" w:cs="Times New Roman" w:hint="eastAsia"/>
          <w:snapToGrid w:val="0"/>
          <w:spacing w:val="-2"/>
          <w:kern w:val="0"/>
          <w:szCs w:val="32"/>
        </w:rPr>
        <w:t>东宗线</w:t>
      </w:r>
      <w:proofErr w:type="gramEnd"/>
      <w:r w:rsidRPr="00CF0586">
        <w:rPr>
          <w:rFonts w:ascii="Times New Roman" w:cs="Times New Roman" w:hint="eastAsia"/>
          <w:snapToGrid w:val="0"/>
          <w:spacing w:val="-2"/>
          <w:kern w:val="0"/>
          <w:szCs w:val="32"/>
        </w:rPr>
        <w:t>、杭平申复线、黄姑塘航道东延段、</w:t>
      </w:r>
      <w:proofErr w:type="gramStart"/>
      <w:r w:rsidRPr="00CF0586">
        <w:rPr>
          <w:rFonts w:ascii="Times New Roman" w:cs="Times New Roman" w:hint="eastAsia"/>
          <w:snapToGrid w:val="0"/>
          <w:spacing w:val="-2"/>
          <w:kern w:val="0"/>
          <w:szCs w:val="32"/>
        </w:rPr>
        <w:t>嘉海尖线</w:t>
      </w:r>
      <w:proofErr w:type="gramEnd"/>
      <w:r w:rsidRPr="00CF0586">
        <w:rPr>
          <w:rFonts w:ascii="Times New Roman" w:cs="Times New Roman" w:hint="eastAsia"/>
          <w:snapToGrid w:val="0"/>
          <w:spacing w:val="-2"/>
          <w:kern w:val="0"/>
          <w:szCs w:val="32"/>
        </w:rPr>
        <w:t>等航道工程。至“十四五”期末，内河千吨级航道里程达到</w:t>
      </w:r>
      <w:r w:rsidRPr="00CF0586">
        <w:rPr>
          <w:rFonts w:ascii="Times New Roman" w:cs="Times New Roman" w:hint="eastAsia"/>
          <w:snapToGrid w:val="0"/>
          <w:spacing w:val="-2"/>
          <w:kern w:val="0"/>
          <w:szCs w:val="32"/>
        </w:rPr>
        <w:t>2</w:t>
      </w:r>
      <w:r w:rsidRPr="00CF0586">
        <w:rPr>
          <w:rFonts w:ascii="Times New Roman" w:cs="Times New Roman"/>
          <w:snapToGrid w:val="0"/>
          <w:spacing w:val="-2"/>
          <w:kern w:val="0"/>
          <w:szCs w:val="32"/>
        </w:rPr>
        <w:t>50</w:t>
      </w:r>
      <w:r w:rsidRPr="00CF0586">
        <w:rPr>
          <w:rFonts w:ascii="Times New Roman" w:cs="Times New Roman" w:hint="eastAsia"/>
          <w:snapToGrid w:val="0"/>
          <w:spacing w:val="-2"/>
          <w:kern w:val="0"/>
          <w:szCs w:val="32"/>
        </w:rPr>
        <w:t>公里，占嘉兴内河航道总里程的</w:t>
      </w:r>
      <w:r w:rsidRPr="00CF0586">
        <w:rPr>
          <w:rFonts w:ascii="Times New Roman" w:cs="Times New Roman"/>
          <w:snapToGrid w:val="0"/>
          <w:spacing w:val="-2"/>
          <w:kern w:val="0"/>
          <w:szCs w:val="32"/>
        </w:rPr>
        <w:t>12.6</w:t>
      </w:r>
      <w:r w:rsidRPr="00CF0586">
        <w:rPr>
          <w:rFonts w:ascii="Times New Roman" w:cs="Times New Roman" w:hint="eastAsia"/>
          <w:snapToGrid w:val="0"/>
          <w:spacing w:val="-2"/>
          <w:kern w:val="0"/>
          <w:szCs w:val="32"/>
        </w:rPr>
        <w:t>%</w:t>
      </w:r>
      <w:r w:rsidRPr="00CF0586">
        <w:rPr>
          <w:rFonts w:ascii="Times New Roman" w:cs="Times New Roman" w:hint="eastAsia"/>
          <w:snapToGrid w:val="0"/>
          <w:spacing w:val="-2"/>
          <w:kern w:val="0"/>
          <w:szCs w:val="32"/>
        </w:rPr>
        <w:t>，建成连通上海、江苏、安徽以及钱塘江中上游的千吨级航道网络。</w:t>
      </w:r>
      <w:r w:rsidRPr="00CF0586">
        <w:rPr>
          <w:rFonts w:ascii="Times New Roman" w:eastAsia="楷体_GB2312" w:cs="Times New Roman" w:hint="eastAsia"/>
          <w:snapToGrid w:val="0"/>
          <w:spacing w:val="-2"/>
          <w:kern w:val="0"/>
          <w:szCs w:val="32"/>
        </w:rPr>
        <w:t>（市交通运输局、各县市区人民政府、经开区管委会、港区管委会）</w:t>
      </w:r>
    </w:p>
    <w:p w:rsidR="00EC696C" w:rsidRPr="00CF0586" w:rsidRDefault="00407F56">
      <w:pPr>
        <w:overflowPunct w:val="0"/>
        <w:adjustRightInd w:val="0"/>
        <w:snapToGrid w:val="0"/>
        <w:ind w:firstLineChars="200" w:firstLine="640"/>
        <w:rPr>
          <w:rFonts w:ascii="Times New Roman" w:eastAsia="宋体" w:cs="宋体"/>
          <w:sz w:val="24"/>
          <w:szCs w:val="32"/>
        </w:rPr>
      </w:pPr>
      <w:r w:rsidRPr="00CF0586">
        <w:rPr>
          <w:rFonts w:ascii="Times New Roman" w:cs="Times New Roman" w:hint="eastAsia"/>
          <w:szCs w:val="32"/>
        </w:rPr>
        <w:t>2.</w:t>
      </w:r>
      <w:r w:rsidRPr="00CF0586">
        <w:rPr>
          <w:rFonts w:ascii="Times New Roman" w:cs="Times New Roman" w:hint="eastAsia"/>
          <w:szCs w:val="32"/>
        </w:rPr>
        <w:t>打通</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外海进港双通道。在现有</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外海金山航道的基础上，新建嘉兴外海进港航道（鱼腥脑航道），通过鱼腥脑东航道、</w:t>
      </w:r>
      <w:proofErr w:type="gramStart"/>
      <w:r w:rsidRPr="00CF0586">
        <w:rPr>
          <w:rFonts w:ascii="Times New Roman" w:cs="Times New Roman" w:hint="eastAsia"/>
          <w:szCs w:val="32"/>
        </w:rPr>
        <w:t>鱼腥脑西航道</w:t>
      </w:r>
      <w:proofErr w:type="gramEnd"/>
      <w:r w:rsidRPr="00CF0586">
        <w:rPr>
          <w:rFonts w:ascii="Times New Roman" w:cs="Times New Roman" w:hint="eastAsia"/>
          <w:szCs w:val="32"/>
        </w:rPr>
        <w:t>，连接舟山中部</w:t>
      </w:r>
      <w:proofErr w:type="gramStart"/>
      <w:r w:rsidRPr="00CF0586">
        <w:rPr>
          <w:rFonts w:ascii="Times New Roman" w:cs="Times New Roman" w:hint="eastAsia"/>
          <w:szCs w:val="32"/>
        </w:rPr>
        <w:t>港域西航道</w:t>
      </w:r>
      <w:proofErr w:type="gramEnd"/>
      <w:r w:rsidRPr="00CF0586">
        <w:rPr>
          <w:rFonts w:ascii="Times New Roman" w:cs="Times New Roman" w:hint="eastAsia"/>
          <w:szCs w:val="32"/>
        </w:rPr>
        <w:t>，开辟宁波舟山港与</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的最便捷通道，开展海盐航道建设研究，进一步完善全省江海河联运体系，优化</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进港航道通航组织，</w:t>
      </w:r>
      <w:r w:rsidR="00862E1B" w:rsidRPr="00CF0586">
        <w:rPr>
          <w:rFonts w:ascii="Times New Roman" w:cs="Times New Roman" w:hint="eastAsia"/>
          <w:szCs w:val="32"/>
        </w:rPr>
        <w:t>主动融入浙北水域通航管理大格局建设，</w:t>
      </w:r>
      <w:r w:rsidRPr="00CF0586">
        <w:rPr>
          <w:rFonts w:ascii="Times New Roman" w:cs="Times New Roman" w:hint="eastAsia"/>
          <w:szCs w:val="32"/>
        </w:rPr>
        <w:t>提升通过能力，强化舟山绿色石化基地与嘉兴产业对接。同步优化</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进港航道锚地方案，进一步研究锚地扩容事项，规范船舶通航秩序，保障海上船舶通航安全。</w:t>
      </w:r>
      <w:r w:rsidRPr="00CF0586">
        <w:rPr>
          <w:rFonts w:ascii="Times New Roman" w:eastAsia="楷体_GB2312" w:cs="Times New Roman" w:hint="eastAsia"/>
          <w:szCs w:val="32"/>
        </w:rPr>
        <w:t>（市交通运输局、嘉兴海事局）</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3.</w:t>
      </w:r>
      <w:r w:rsidRPr="00CF0586">
        <w:rPr>
          <w:rFonts w:ascii="Times New Roman" w:cs="Times New Roman" w:hint="eastAsia"/>
          <w:szCs w:val="32"/>
        </w:rPr>
        <w:t>优化</w:t>
      </w:r>
      <w:proofErr w:type="gramStart"/>
      <w:r w:rsidRPr="00CF0586">
        <w:rPr>
          <w:rFonts w:ascii="Times New Roman" w:cs="Times New Roman" w:hint="eastAsia"/>
          <w:szCs w:val="32"/>
        </w:rPr>
        <w:t>嘉兴港路网</w:t>
      </w:r>
      <w:proofErr w:type="gramEnd"/>
      <w:r w:rsidRPr="00CF0586">
        <w:rPr>
          <w:rFonts w:ascii="Times New Roman" w:cs="Times New Roman" w:hint="eastAsia"/>
          <w:szCs w:val="32"/>
        </w:rPr>
        <w:t>集疏运体系。在国土空间规划中优化疏港公路国土空间布局，加快推动连接</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三大港区的</w:t>
      </w:r>
      <w:r w:rsidRPr="00CF0586">
        <w:rPr>
          <w:rFonts w:ascii="Times New Roman" w:cs="Times New Roman" w:hint="eastAsia"/>
          <w:szCs w:val="32"/>
        </w:rPr>
        <w:t>14</w:t>
      </w:r>
      <w:r w:rsidRPr="00CF0586">
        <w:rPr>
          <w:rFonts w:ascii="Times New Roman" w:cs="Times New Roman" w:hint="eastAsia"/>
          <w:szCs w:val="32"/>
        </w:rPr>
        <w:lastRenderedPageBreak/>
        <w:t>条疏港公路建设，缓解城市道路通行压力，促进港口货运通道与城市道路融合。强化</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港口运输通道、运输服务和运输市场一体化发展，提高港口装卸效率，降低港口物流成本，促进城市产业合理分工布局、港</w:t>
      </w:r>
      <w:proofErr w:type="gramStart"/>
      <w:r w:rsidRPr="00CF0586">
        <w:rPr>
          <w:rFonts w:ascii="Times New Roman" w:cs="Times New Roman" w:hint="eastAsia"/>
          <w:szCs w:val="32"/>
        </w:rPr>
        <w:t>产城深度</w:t>
      </w:r>
      <w:proofErr w:type="gramEnd"/>
      <w:r w:rsidRPr="00CF0586">
        <w:rPr>
          <w:rFonts w:ascii="Times New Roman" w:cs="Times New Roman" w:hint="eastAsia"/>
          <w:szCs w:val="32"/>
        </w:rPr>
        <w:t>融合发展。</w:t>
      </w:r>
      <w:r w:rsidRPr="00CF0586">
        <w:rPr>
          <w:rFonts w:ascii="Times New Roman" w:eastAsia="楷体_GB2312" w:cs="Times New Roman" w:hint="eastAsia"/>
          <w:szCs w:val="32"/>
        </w:rPr>
        <w:t>（市交通运输局、市自然资源和规划局、平湖市政府、海盐县政府、嘉兴港区管委会）</w:t>
      </w:r>
    </w:p>
    <w:p w:rsidR="00EC696C" w:rsidRPr="00CF0586" w:rsidRDefault="00407F56">
      <w:pPr>
        <w:overflowPunct w:val="0"/>
        <w:adjustRightInd w:val="0"/>
        <w:snapToGrid w:val="0"/>
        <w:ind w:firstLineChars="200" w:firstLine="640"/>
        <w:rPr>
          <w:rFonts w:ascii="Times New Roman" w:eastAsia="楷体_GB2312" w:cs="Times New Roman"/>
          <w:szCs w:val="32"/>
        </w:rPr>
      </w:pPr>
      <w:r w:rsidRPr="00CF0586">
        <w:rPr>
          <w:rFonts w:ascii="Times New Roman" w:eastAsia="楷体_GB2312" w:cs="Times New Roman" w:hint="eastAsia"/>
          <w:szCs w:val="32"/>
        </w:rPr>
        <w:t>（二）提升海河联运港口能级</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4.</w:t>
      </w:r>
      <w:r w:rsidRPr="00CF0586">
        <w:rPr>
          <w:rFonts w:ascii="Times New Roman" w:cs="Times New Roman" w:hint="eastAsia"/>
          <w:szCs w:val="32"/>
        </w:rPr>
        <w:t>建设支撑有力的沿海港口。深度融入全省“一体两翼多联”港口发展布局，加强与上海港、宁波舟山港等深度融合与合作，不断优化“一港三区”功能布局，加快外海码头建设，有效提升海河联运保障能力。加快推进嘉兴市海河联运示范工程（独山港区Ⅱ号港池、</w:t>
      </w:r>
      <w:r w:rsidRPr="00CF0586">
        <w:rPr>
          <w:rFonts w:ascii="Times New Roman" w:cs="Times New Roman"/>
          <w:szCs w:val="32"/>
        </w:rPr>
        <w:t>B25B26</w:t>
      </w:r>
      <w:r w:rsidRPr="00CF0586">
        <w:rPr>
          <w:rFonts w:ascii="Times New Roman" w:cs="Times New Roman" w:hint="eastAsia"/>
          <w:szCs w:val="32"/>
        </w:rPr>
        <w:t>泊位、</w:t>
      </w:r>
      <w:r w:rsidRPr="00CF0586">
        <w:rPr>
          <w:rFonts w:ascii="Times New Roman" w:cs="Times New Roman"/>
          <w:szCs w:val="32"/>
        </w:rPr>
        <w:t>A5A6</w:t>
      </w:r>
      <w:r w:rsidRPr="00CF0586">
        <w:rPr>
          <w:rFonts w:ascii="Times New Roman" w:cs="Times New Roman" w:hint="eastAsia"/>
          <w:szCs w:val="32"/>
        </w:rPr>
        <w:t>泊位、</w:t>
      </w:r>
      <w:r w:rsidRPr="00CF0586">
        <w:rPr>
          <w:rFonts w:ascii="Times New Roman" w:cs="Times New Roman"/>
          <w:szCs w:val="32"/>
        </w:rPr>
        <w:t>B21B22</w:t>
      </w:r>
      <w:r w:rsidRPr="00CF0586">
        <w:rPr>
          <w:rFonts w:ascii="Times New Roman" w:cs="Times New Roman" w:hint="eastAsia"/>
          <w:szCs w:val="32"/>
        </w:rPr>
        <w:t>泊位）、海盐传化</w:t>
      </w:r>
      <w:proofErr w:type="gramStart"/>
      <w:r w:rsidRPr="00CF0586">
        <w:rPr>
          <w:rFonts w:ascii="Times New Roman" w:cs="Times New Roman" w:hint="eastAsia"/>
          <w:szCs w:val="32"/>
        </w:rPr>
        <w:t>智慧港</w:t>
      </w:r>
      <w:proofErr w:type="gramEnd"/>
      <w:r w:rsidRPr="00CF0586">
        <w:rPr>
          <w:rFonts w:ascii="Times New Roman" w:cs="Times New Roman" w:hint="eastAsia"/>
          <w:szCs w:val="32"/>
        </w:rPr>
        <w:t>等万吨级泊位建设，沿海港口持续向专业化、集约化方向发展，持续提升港口吞吐能力和国际化水平，港口运输效率和服务质量跻身行业领先行列。到</w:t>
      </w:r>
      <w:r w:rsidRPr="00CF0586">
        <w:rPr>
          <w:rFonts w:ascii="Times New Roman" w:cs="Times New Roman" w:hint="eastAsia"/>
          <w:szCs w:val="32"/>
        </w:rPr>
        <w:t>2025</w:t>
      </w:r>
      <w:r w:rsidRPr="00CF0586">
        <w:rPr>
          <w:rFonts w:ascii="Times New Roman" w:cs="Times New Roman" w:hint="eastAsia"/>
          <w:szCs w:val="32"/>
        </w:rPr>
        <w:t>年，</w:t>
      </w:r>
      <w:proofErr w:type="gramStart"/>
      <w:r w:rsidRPr="00CF0586">
        <w:rPr>
          <w:rFonts w:ascii="Times New Roman" w:cs="Times New Roman" w:hint="eastAsia"/>
          <w:szCs w:val="32"/>
        </w:rPr>
        <w:t>嘉兴港新增</w:t>
      </w:r>
      <w:proofErr w:type="gramEnd"/>
      <w:r w:rsidRPr="00CF0586">
        <w:rPr>
          <w:rFonts w:ascii="Times New Roman" w:cs="Times New Roman" w:hint="eastAsia"/>
          <w:szCs w:val="32"/>
        </w:rPr>
        <w:t>外海万吨级泊位</w:t>
      </w:r>
      <w:r w:rsidRPr="00CF0586">
        <w:rPr>
          <w:rFonts w:ascii="Times New Roman" w:cs="Times New Roman" w:hint="eastAsia"/>
          <w:szCs w:val="32"/>
        </w:rPr>
        <w:t>10</w:t>
      </w:r>
      <w:r w:rsidRPr="00CF0586">
        <w:rPr>
          <w:rFonts w:ascii="Times New Roman" w:cs="Times New Roman" w:hint="eastAsia"/>
          <w:szCs w:val="32"/>
        </w:rPr>
        <w:t>个，万吨级以上泊位累计超</w:t>
      </w:r>
      <w:r w:rsidRPr="00CF0586">
        <w:rPr>
          <w:rFonts w:ascii="Times New Roman" w:cs="Times New Roman" w:hint="eastAsia"/>
          <w:szCs w:val="32"/>
        </w:rPr>
        <w:t>50</w:t>
      </w:r>
      <w:r w:rsidRPr="00CF0586">
        <w:rPr>
          <w:rFonts w:ascii="Times New Roman" w:cs="Times New Roman" w:hint="eastAsia"/>
          <w:szCs w:val="32"/>
        </w:rPr>
        <w:t>个；</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八大海河联运作业区（除独山海河联运作业Ⅰ区外）全部建成，实现海港与内河港之间的高效协同。</w:t>
      </w:r>
      <w:r w:rsidRPr="00CF0586">
        <w:rPr>
          <w:rFonts w:ascii="Times New Roman" w:eastAsia="楷体_GB2312" w:cs="Times New Roman" w:hint="eastAsia"/>
          <w:szCs w:val="32"/>
        </w:rPr>
        <w:t>（市交通运输局、市自然资源和规划局、嘉兴海事局、市口岸办、市水利局、嘉兴港区管委会、平湖市政府、海盐县政府、省海港集团嘉兴公司）</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5.</w:t>
      </w:r>
      <w:r w:rsidRPr="00CF0586">
        <w:rPr>
          <w:rFonts w:ascii="Times New Roman" w:cs="Times New Roman" w:hint="eastAsia"/>
          <w:szCs w:val="20"/>
        </w:rPr>
        <w:t>打造集约高效的内河港口。</w:t>
      </w:r>
      <w:r w:rsidRPr="00CF0586">
        <w:rPr>
          <w:rFonts w:ascii="Times New Roman" w:cs="Times New Roman" w:hint="eastAsia"/>
          <w:szCs w:val="32"/>
        </w:rPr>
        <w:t>科学合理布局嘉兴千吨级航道沿线港口，加快推进新一轮《嘉兴内河港总体规划》的重要公共作业区建设，加强对现有码头的规范整治，结合</w:t>
      </w:r>
      <w:r w:rsidRPr="00CF0586">
        <w:rPr>
          <w:rFonts w:hAnsi="仿宋" w:hint="eastAsia"/>
          <w:kern w:val="0"/>
          <w:szCs w:val="32"/>
          <w:shd w:val="clear" w:color="auto" w:fill="FFFFFF"/>
        </w:rPr>
        <w:t>《嘉</w:t>
      </w:r>
      <w:r w:rsidRPr="00CF0586">
        <w:rPr>
          <w:rFonts w:hAnsi="仿宋" w:hint="eastAsia"/>
          <w:kern w:val="0"/>
          <w:szCs w:val="32"/>
          <w:shd w:val="clear" w:color="auto" w:fill="FFFFFF"/>
        </w:rPr>
        <w:lastRenderedPageBreak/>
        <w:t>兴市制造业高质量发展“十四五”规划》，</w:t>
      </w:r>
      <w:r w:rsidRPr="00CF0586">
        <w:rPr>
          <w:rFonts w:ascii="Times New Roman" w:cs="Times New Roman" w:hint="eastAsia"/>
          <w:szCs w:val="32"/>
        </w:rPr>
        <w:t>重点推进连接重要工业园区、物流园区的内河码头，发展现代化、集约化、规模化作业区。“十四五”期间，新建</w:t>
      </w:r>
      <w:r w:rsidRPr="00CF0586">
        <w:rPr>
          <w:rFonts w:ascii="Times New Roman" w:cs="Times New Roman" w:hint="eastAsia"/>
          <w:szCs w:val="32"/>
        </w:rPr>
        <w:t>500</w:t>
      </w:r>
      <w:r w:rsidRPr="00CF0586">
        <w:rPr>
          <w:rFonts w:ascii="Times New Roman" w:cs="Times New Roman" w:hint="eastAsia"/>
          <w:szCs w:val="32"/>
        </w:rPr>
        <w:t>吨级及以上泊位</w:t>
      </w:r>
      <w:r w:rsidRPr="00CF0586">
        <w:rPr>
          <w:rFonts w:ascii="Times New Roman" w:cs="Times New Roman"/>
          <w:szCs w:val="32"/>
        </w:rPr>
        <w:t>25</w:t>
      </w:r>
      <w:r w:rsidRPr="00CF0586">
        <w:rPr>
          <w:rFonts w:ascii="Times New Roman" w:cs="Times New Roman" w:hint="eastAsia"/>
          <w:szCs w:val="32"/>
        </w:rPr>
        <w:t>个，形成以港口为枢纽的沿河产业带，打造一批内河临港物流园区，形成“内河码头</w:t>
      </w:r>
      <w:r w:rsidRPr="00CF0586">
        <w:rPr>
          <w:rFonts w:ascii="Times New Roman" w:cs="Times New Roman" w:hint="eastAsia"/>
          <w:szCs w:val="32"/>
        </w:rPr>
        <w:t>+</w:t>
      </w:r>
      <w:r w:rsidRPr="00CF0586">
        <w:rPr>
          <w:rFonts w:ascii="Times New Roman" w:cs="Times New Roman" w:hint="eastAsia"/>
          <w:szCs w:val="32"/>
        </w:rPr>
        <w:t>配套园区</w:t>
      </w:r>
      <w:r w:rsidRPr="00CF0586">
        <w:rPr>
          <w:rFonts w:ascii="Times New Roman" w:cs="Times New Roman" w:hint="eastAsia"/>
          <w:szCs w:val="32"/>
        </w:rPr>
        <w:t>+</w:t>
      </w:r>
      <w:r w:rsidRPr="00CF0586">
        <w:rPr>
          <w:rFonts w:ascii="Times New Roman" w:cs="Times New Roman" w:hint="eastAsia"/>
          <w:szCs w:val="32"/>
        </w:rPr>
        <w:t>物流服务”的综合运作模式。结合嘉兴大运河文化带建设和世界文化遗产保护要求，立足嘉兴江南水乡特色和红色文化底蕴，加快推动交通与旅游融合发展，大力发展集通勤、休闲、旅游为一体的高品质水上客运，促进水上客运与旅游、文化、城市融合发展。</w:t>
      </w:r>
      <w:r w:rsidRPr="00CF0586">
        <w:rPr>
          <w:rFonts w:ascii="Times New Roman" w:eastAsia="楷体_GB2312" w:cs="Times New Roman" w:hint="eastAsia"/>
          <w:szCs w:val="32"/>
        </w:rPr>
        <w:t>（市交通运输局、市生态环境局、市文化广电旅游局、各县市区人民政府、经开区管委会、港区管委会）</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6.</w:t>
      </w:r>
      <w:r w:rsidRPr="00CF0586">
        <w:rPr>
          <w:rFonts w:ascii="Times New Roman" w:cs="Times New Roman" w:hint="eastAsia"/>
          <w:szCs w:val="32"/>
        </w:rPr>
        <w:t>积极谋划</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海空铁多式联运。结合虹桥</w:t>
      </w:r>
      <w:proofErr w:type="gramStart"/>
      <w:r w:rsidRPr="00CF0586">
        <w:rPr>
          <w:rFonts w:ascii="Times New Roman" w:cs="Times New Roman" w:hint="eastAsia"/>
          <w:szCs w:val="32"/>
        </w:rPr>
        <w:t>枢纽南</w:t>
      </w:r>
      <w:proofErr w:type="gramEnd"/>
      <w:r w:rsidRPr="00CF0586">
        <w:rPr>
          <w:rFonts w:ascii="Times New Roman" w:cs="Times New Roman" w:hint="eastAsia"/>
          <w:szCs w:val="32"/>
        </w:rPr>
        <w:t>向带规划，积极谋划铁路与港区、机场与港区联动，开展江</w:t>
      </w:r>
      <w:proofErr w:type="gramStart"/>
      <w:r w:rsidRPr="00CF0586">
        <w:rPr>
          <w:rFonts w:ascii="Times New Roman" w:cs="Times New Roman" w:hint="eastAsia"/>
          <w:szCs w:val="32"/>
        </w:rPr>
        <w:t>海河空铁联运</w:t>
      </w:r>
      <w:proofErr w:type="gramEnd"/>
      <w:r w:rsidRPr="00CF0586">
        <w:rPr>
          <w:rFonts w:ascii="Times New Roman" w:cs="Times New Roman" w:hint="eastAsia"/>
          <w:szCs w:val="32"/>
        </w:rPr>
        <w:t>体系研究，形成彰显嘉兴特色的江</w:t>
      </w:r>
      <w:proofErr w:type="gramStart"/>
      <w:r w:rsidRPr="00CF0586">
        <w:rPr>
          <w:rFonts w:ascii="Times New Roman" w:cs="Times New Roman" w:hint="eastAsia"/>
          <w:szCs w:val="32"/>
        </w:rPr>
        <w:t>海河空铁多式联运</w:t>
      </w:r>
      <w:proofErr w:type="gramEnd"/>
      <w:r w:rsidRPr="00CF0586">
        <w:rPr>
          <w:rFonts w:ascii="Times New Roman" w:cs="Times New Roman" w:hint="eastAsia"/>
          <w:szCs w:val="32"/>
        </w:rPr>
        <w:t>体系，与虹桥国际开放枢纽上海片区、浙江片区建设实施方案做好衔接，有力提升嘉兴服务长三角区域的能力和联通国内国际的能级。</w:t>
      </w:r>
      <w:r w:rsidRPr="00CF0586">
        <w:rPr>
          <w:rFonts w:ascii="Times New Roman" w:eastAsia="楷体_GB2312" w:cs="Times New Roman" w:hint="eastAsia"/>
          <w:szCs w:val="32"/>
        </w:rPr>
        <w:t>（</w:t>
      </w:r>
      <w:r w:rsidR="00B30BCD" w:rsidRPr="00CF0586">
        <w:rPr>
          <w:rFonts w:ascii="Times New Roman" w:eastAsia="楷体_GB2312" w:cs="Times New Roman" w:hint="eastAsia"/>
          <w:szCs w:val="32"/>
        </w:rPr>
        <w:t>市交通运输局、</w:t>
      </w:r>
      <w:r w:rsidR="00622665" w:rsidRPr="00CF0586">
        <w:rPr>
          <w:rFonts w:ascii="Times New Roman" w:eastAsia="楷体_GB2312" w:cs="Times New Roman" w:hint="eastAsia"/>
          <w:szCs w:val="32"/>
        </w:rPr>
        <w:t>市长三角发展办、</w:t>
      </w:r>
      <w:r w:rsidRPr="00CF0586">
        <w:rPr>
          <w:rFonts w:ascii="Times New Roman" w:eastAsia="楷体_GB2312" w:cs="Times New Roman" w:hint="eastAsia"/>
          <w:szCs w:val="32"/>
        </w:rPr>
        <w:t>市发展改革委、平湖市政府、嘉兴港区管委会、海盐县政府）</w:t>
      </w:r>
    </w:p>
    <w:p w:rsidR="00EC696C" w:rsidRPr="00CF0586" w:rsidRDefault="00407F56">
      <w:pPr>
        <w:overflowPunct w:val="0"/>
        <w:adjustRightInd w:val="0"/>
        <w:snapToGrid w:val="0"/>
        <w:ind w:firstLineChars="200" w:firstLine="640"/>
        <w:rPr>
          <w:rFonts w:ascii="Times New Roman" w:eastAsia="楷体_GB2312" w:cs="Times New Roman"/>
          <w:szCs w:val="32"/>
        </w:rPr>
      </w:pPr>
      <w:r w:rsidRPr="00CF0586">
        <w:rPr>
          <w:rFonts w:ascii="Times New Roman" w:eastAsia="楷体_GB2312" w:cs="Times New Roman" w:hint="eastAsia"/>
          <w:szCs w:val="32"/>
        </w:rPr>
        <w:t>（三）组建海河联运新型船队</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7.</w:t>
      </w:r>
      <w:r w:rsidRPr="00CF0586">
        <w:rPr>
          <w:rFonts w:ascii="Times New Roman" w:cs="Times New Roman" w:hint="eastAsia"/>
          <w:szCs w:val="32"/>
        </w:rPr>
        <w:t>打造现代化集装箱海河联运船队。结合嘉兴水运特点和运输需求，制定适合海河联运的集装箱船型标准，推进集装箱、散货等海河联运船型的发展与应用。重点研发推广三层</w:t>
      </w:r>
      <w:r w:rsidRPr="00CF0586">
        <w:rPr>
          <w:rFonts w:ascii="Times New Roman" w:cs="Times New Roman" w:hint="eastAsia"/>
          <w:szCs w:val="32"/>
        </w:rPr>
        <w:t>64</w:t>
      </w:r>
      <w:r w:rsidRPr="00CF0586">
        <w:rPr>
          <w:rFonts w:ascii="Times New Roman" w:cs="Times New Roman" w:hint="eastAsia"/>
          <w:szCs w:val="32"/>
        </w:rPr>
        <w:t>标箱内河集装箱船</w:t>
      </w:r>
      <w:proofErr w:type="gramStart"/>
      <w:r w:rsidRPr="00CF0586">
        <w:rPr>
          <w:rFonts w:ascii="Times New Roman" w:cs="Times New Roman" w:hint="eastAsia"/>
          <w:szCs w:val="32"/>
        </w:rPr>
        <w:t>舶</w:t>
      </w:r>
      <w:proofErr w:type="gramEnd"/>
      <w:r w:rsidRPr="00CF0586">
        <w:rPr>
          <w:rFonts w:ascii="Times New Roman" w:cs="Times New Roman" w:hint="eastAsia"/>
          <w:szCs w:val="32"/>
        </w:rPr>
        <w:t>、千吨级散货船</w:t>
      </w:r>
      <w:proofErr w:type="gramStart"/>
      <w:r w:rsidRPr="00CF0586">
        <w:rPr>
          <w:rFonts w:ascii="Times New Roman" w:cs="Times New Roman" w:hint="eastAsia"/>
          <w:szCs w:val="32"/>
        </w:rPr>
        <w:t>舶</w:t>
      </w:r>
      <w:proofErr w:type="gramEnd"/>
      <w:r w:rsidRPr="00CF0586">
        <w:rPr>
          <w:rFonts w:ascii="Times New Roman" w:cs="Times New Roman" w:hint="eastAsia"/>
          <w:szCs w:val="32"/>
        </w:rPr>
        <w:t>。借鉴江海联运直达船舶发展经验，推进千吨级海河直达船舶的研发和推</w:t>
      </w:r>
      <w:r w:rsidRPr="00CF0586">
        <w:rPr>
          <w:rFonts w:ascii="Times New Roman" w:cs="Times New Roman" w:hint="eastAsia"/>
          <w:szCs w:val="32"/>
        </w:rPr>
        <w:lastRenderedPageBreak/>
        <w:t>广，由大型港口或航运企业主导整合运力资源组建海河联运集装箱公共运输船队。到</w:t>
      </w:r>
      <w:r w:rsidRPr="00CF0586">
        <w:rPr>
          <w:rFonts w:ascii="Times New Roman" w:cs="Times New Roman" w:hint="eastAsia"/>
          <w:szCs w:val="32"/>
        </w:rPr>
        <w:t>2025</w:t>
      </w:r>
      <w:r w:rsidRPr="00CF0586">
        <w:rPr>
          <w:rFonts w:ascii="Times New Roman" w:cs="Times New Roman" w:hint="eastAsia"/>
          <w:szCs w:val="32"/>
        </w:rPr>
        <w:t>年，对接</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的内河集装箱运力达</w:t>
      </w:r>
      <w:r w:rsidRPr="00CF0586">
        <w:rPr>
          <w:rFonts w:ascii="Times New Roman" w:cs="Times New Roman" w:hint="eastAsia"/>
          <w:szCs w:val="32"/>
        </w:rPr>
        <w:t>1</w:t>
      </w:r>
      <w:r w:rsidRPr="00CF0586">
        <w:rPr>
          <w:rFonts w:ascii="Times New Roman" w:cs="Times New Roman" w:hint="eastAsia"/>
          <w:szCs w:val="32"/>
        </w:rPr>
        <w:t>万标箱以上，形成</w:t>
      </w:r>
      <w:r w:rsidRPr="00CF0586">
        <w:rPr>
          <w:rFonts w:ascii="Times New Roman" w:cs="Times New Roman" w:hint="eastAsia"/>
          <w:szCs w:val="32"/>
        </w:rPr>
        <w:t>3</w:t>
      </w:r>
      <w:r w:rsidRPr="00CF0586">
        <w:rPr>
          <w:rFonts w:ascii="Times New Roman" w:cs="Times New Roman" w:hint="eastAsia"/>
          <w:szCs w:val="32"/>
        </w:rPr>
        <w:t>家以上内河集装箱年运量超过</w:t>
      </w:r>
      <w:r w:rsidRPr="00CF0586">
        <w:rPr>
          <w:rFonts w:ascii="Times New Roman" w:cs="Times New Roman" w:hint="eastAsia"/>
          <w:szCs w:val="32"/>
        </w:rPr>
        <w:t>10</w:t>
      </w:r>
      <w:r w:rsidRPr="00CF0586">
        <w:rPr>
          <w:rFonts w:ascii="Times New Roman" w:cs="Times New Roman" w:hint="eastAsia"/>
          <w:szCs w:val="32"/>
        </w:rPr>
        <w:t>万标箱的骨干运输企业。</w:t>
      </w:r>
      <w:r w:rsidRPr="00CF0586">
        <w:rPr>
          <w:rFonts w:ascii="Times New Roman" w:eastAsia="楷体_GB2312" w:cs="Times New Roman" w:hint="eastAsia"/>
          <w:szCs w:val="32"/>
        </w:rPr>
        <w:t>（省海港集团内河港公司、市交通运输局）</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8.</w:t>
      </w:r>
      <w:r w:rsidRPr="00CF0586">
        <w:rPr>
          <w:rFonts w:ascii="Times New Roman" w:cs="Times New Roman" w:hint="eastAsia"/>
          <w:szCs w:val="32"/>
        </w:rPr>
        <w:t>积极推广新能源应用。加快淘汰高耗能、高污染装备，深化清洁能源应用，鼓励建造应用电能、</w:t>
      </w:r>
      <w:r w:rsidRPr="00CF0586">
        <w:rPr>
          <w:rFonts w:ascii="Times New Roman" w:cs="Times New Roman" w:hint="eastAsia"/>
          <w:szCs w:val="32"/>
        </w:rPr>
        <w:t>LNG</w:t>
      </w:r>
      <w:r w:rsidRPr="00CF0586">
        <w:rPr>
          <w:rFonts w:ascii="Times New Roman" w:cs="Times New Roman" w:hint="eastAsia"/>
          <w:szCs w:val="32"/>
        </w:rPr>
        <w:t>、氢能等新能源船舶，支持建造纯电动内河集装箱船</w:t>
      </w:r>
      <w:proofErr w:type="gramStart"/>
      <w:r w:rsidRPr="00CF0586">
        <w:rPr>
          <w:rFonts w:ascii="Times New Roman" w:cs="Times New Roman" w:hint="eastAsia"/>
          <w:szCs w:val="32"/>
        </w:rPr>
        <w:t>舶</w:t>
      </w:r>
      <w:proofErr w:type="gramEnd"/>
      <w:r w:rsidRPr="00CF0586">
        <w:rPr>
          <w:rFonts w:ascii="Times New Roman" w:cs="Times New Roman" w:hint="eastAsia"/>
          <w:szCs w:val="32"/>
        </w:rPr>
        <w:t>，稳步推进内河集装箱新能源动力船舶的新建、改建工作，持续提高内河集装箱绿色能源船舶运力规模，在乍浦港区开展氢能源集卡、氢能源船舶试运行。推进港</w:t>
      </w:r>
      <w:proofErr w:type="gramStart"/>
      <w:r w:rsidRPr="00CF0586">
        <w:rPr>
          <w:rFonts w:ascii="Times New Roman" w:cs="Times New Roman" w:hint="eastAsia"/>
          <w:szCs w:val="32"/>
        </w:rPr>
        <w:t>航领域碳达</w:t>
      </w:r>
      <w:proofErr w:type="gramEnd"/>
      <w:r w:rsidRPr="00CF0586">
        <w:rPr>
          <w:rFonts w:ascii="Times New Roman" w:cs="Times New Roman" w:hint="eastAsia"/>
          <w:szCs w:val="32"/>
        </w:rPr>
        <w:t>峰、碳中和各项工作，建立岸电使用推动机制，加快内河集装箱船</w:t>
      </w:r>
      <w:proofErr w:type="gramStart"/>
      <w:r w:rsidRPr="00CF0586">
        <w:rPr>
          <w:rFonts w:ascii="Times New Roman" w:cs="Times New Roman" w:hint="eastAsia"/>
          <w:szCs w:val="32"/>
        </w:rPr>
        <w:t>舶</w:t>
      </w:r>
      <w:proofErr w:type="gramEnd"/>
      <w:r w:rsidRPr="00CF0586">
        <w:rPr>
          <w:rFonts w:ascii="Times New Roman" w:cs="Times New Roman" w:hint="eastAsia"/>
          <w:szCs w:val="32"/>
        </w:rPr>
        <w:t>改造安装岸电受电设施。</w:t>
      </w:r>
      <w:r w:rsidRPr="00CF0586">
        <w:rPr>
          <w:rFonts w:ascii="Times New Roman" w:eastAsia="楷体_GB2312" w:cs="Times New Roman" w:hint="eastAsia"/>
          <w:szCs w:val="32"/>
        </w:rPr>
        <w:t>（嘉兴港区管委会、市交通运输局、嘉兴海事局、省海港集团嘉兴公司）</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9.</w:t>
      </w:r>
      <w:r w:rsidRPr="00CF0586">
        <w:rPr>
          <w:rFonts w:ascii="Times New Roman" w:cs="Times New Roman" w:hint="eastAsia"/>
          <w:szCs w:val="32"/>
        </w:rPr>
        <w:t>提升引航辅助服务能力。推动</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引航站人员扩编，保障引航员待遇，加快引进高端引航人才，不断培育壮大引航队伍。积极探索全天候引航模式，优化引航</w:t>
      </w:r>
      <w:proofErr w:type="gramStart"/>
      <w:r w:rsidRPr="00CF0586">
        <w:rPr>
          <w:rFonts w:ascii="Times New Roman" w:cs="Times New Roman" w:hint="eastAsia"/>
          <w:szCs w:val="32"/>
        </w:rPr>
        <w:t>员登离轮点</w:t>
      </w:r>
      <w:proofErr w:type="gramEnd"/>
      <w:r w:rsidRPr="00CF0586">
        <w:rPr>
          <w:rFonts w:ascii="Times New Roman" w:cs="Times New Roman" w:hint="eastAsia"/>
          <w:szCs w:val="32"/>
        </w:rPr>
        <w:t>和引航范围。探索研究</w:t>
      </w:r>
      <w:r w:rsidRPr="00CF0586">
        <w:rPr>
          <w:rFonts w:ascii="Times New Roman" w:cs="仿宋_GB2312" w:hint="eastAsia"/>
          <w:szCs w:val="32"/>
        </w:rPr>
        <w:t>省内跨</w:t>
      </w:r>
      <w:proofErr w:type="gramStart"/>
      <w:r w:rsidRPr="00CF0586">
        <w:rPr>
          <w:rFonts w:ascii="Times New Roman" w:cs="仿宋_GB2312" w:hint="eastAsia"/>
          <w:szCs w:val="32"/>
        </w:rPr>
        <w:t>区域海</w:t>
      </w:r>
      <w:proofErr w:type="gramEnd"/>
      <w:r w:rsidRPr="00CF0586">
        <w:rPr>
          <w:rFonts w:ascii="Times New Roman" w:cs="仿宋_GB2312" w:hint="eastAsia"/>
          <w:szCs w:val="32"/>
        </w:rPr>
        <w:t>引航</w:t>
      </w:r>
      <w:r w:rsidRPr="00CF0586">
        <w:rPr>
          <w:rFonts w:ascii="Times New Roman" w:cs="Times New Roman" w:hint="eastAsia"/>
          <w:szCs w:val="32"/>
        </w:rPr>
        <w:t>机制，提升</w:t>
      </w:r>
      <w:proofErr w:type="gramStart"/>
      <w:r w:rsidRPr="00CF0586">
        <w:rPr>
          <w:rFonts w:ascii="Times New Roman" w:cs="Times New Roman" w:hint="eastAsia"/>
          <w:szCs w:val="32"/>
        </w:rPr>
        <w:t>嘉兴港引航</w:t>
      </w:r>
      <w:proofErr w:type="gramEnd"/>
      <w:r w:rsidRPr="00CF0586">
        <w:rPr>
          <w:rFonts w:ascii="Times New Roman" w:cs="Times New Roman" w:hint="eastAsia"/>
          <w:szCs w:val="32"/>
        </w:rPr>
        <w:t>服务效率。</w:t>
      </w:r>
      <w:r w:rsidRPr="00CF0586">
        <w:rPr>
          <w:rFonts w:ascii="Times New Roman" w:eastAsia="楷体_GB2312" w:cs="Times New Roman" w:hint="eastAsia"/>
          <w:szCs w:val="32"/>
        </w:rPr>
        <w:t>（市交通运输局、市编办、市</w:t>
      </w:r>
      <w:proofErr w:type="gramStart"/>
      <w:r w:rsidRPr="00CF0586">
        <w:rPr>
          <w:rFonts w:ascii="Times New Roman" w:eastAsia="楷体_GB2312" w:cs="Times New Roman" w:hint="eastAsia"/>
          <w:szCs w:val="32"/>
        </w:rPr>
        <w:t>人社局</w:t>
      </w:r>
      <w:proofErr w:type="gramEnd"/>
      <w:r w:rsidRPr="00CF0586">
        <w:rPr>
          <w:rFonts w:ascii="Times New Roman" w:eastAsia="楷体_GB2312" w:cs="Times New Roman" w:hint="eastAsia"/>
          <w:szCs w:val="32"/>
        </w:rPr>
        <w:t>、市财政局、嘉兴海事局）</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10.</w:t>
      </w:r>
      <w:r w:rsidRPr="00CF0586">
        <w:rPr>
          <w:rFonts w:ascii="Times New Roman" w:cs="Times New Roman" w:hint="eastAsia"/>
          <w:szCs w:val="32"/>
        </w:rPr>
        <w:t>提升拖轮辅助服务能力。加大港作拖轮建造投入，不断适应</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快速发展需要，提升港口生产服务保障能力。统筹引航</w:t>
      </w:r>
      <w:proofErr w:type="gramStart"/>
      <w:r w:rsidRPr="00CF0586">
        <w:rPr>
          <w:rFonts w:ascii="Times New Roman" w:cs="Times New Roman" w:hint="eastAsia"/>
          <w:szCs w:val="32"/>
        </w:rPr>
        <w:t>拖轮港</w:t>
      </w:r>
      <w:proofErr w:type="gramEnd"/>
      <w:r w:rsidRPr="00CF0586">
        <w:rPr>
          <w:rFonts w:ascii="Times New Roman" w:cs="Times New Roman" w:hint="eastAsia"/>
          <w:szCs w:val="32"/>
        </w:rPr>
        <w:t>航调度，推动港口企业与拖轮公司的合作，优化拖轮调度管理模式。</w:t>
      </w:r>
      <w:r w:rsidRPr="00CF0586">
        <w:rPr>
          <w:rFonts w:ascii="Times New Roman" w:eastAsia="楷体_GB2312" w:cs="Times New Roman" w:hint="eastAsia"/>
          <w:szCs w:val="32"/>
        </w:rPr>
        <w:t>（嘉兴港区管委会、市交通运输局、</w:t>
      </w:r>
      <w:r w:rsidRPr="00CF0586">
        <w:rPr>
          <w:rFonts w:ascii="Times New Roman" w:eastAsia="楷体_GB2312" w:cs="Times New Roman" w:hint="eastAsia"/>
          <w:szCs w:val="32"/>
        </w:rPr>
        <w:lastRenderedPageBreak/>
        <w:t>省海港集团嘉兴公司）</w:t>
      </w:r>
    </w:p>
    <w:p w:rsidR="00EC696C" w:rsidRPr="00CF0586" w:rsidRDefault="00407F56">
      <w:pPr>
        <w:overflowPunct w:val="0"/>
        <w:adjustRightInd w:val="0"/>
        <w:snapToGrid w:val="0"/>
        <w:ind w:firstLineChars="200" w:firstLine="640"/>
        <w:rPr>
          <w:rFonts w:ascii="Times New Roman" w:eastAsia="楷体_GB2312" w:cs="Times New Roman"/>
          <w:szCs w:val="32"/>
        </w:rPr>
      </w:pPr>
      <w:r w:rsidRPr="00CF0586">
        <w:rPr>
          <w:rFonts w:ascii="Times New Roman" w:eastAsia="楷体_GB2312" w:cs="Times New Roman" w:hint="eastAsia"/>
          <w:szCs w:val="32"/>
        </w:rPr>
        <w:t>（四）搭建海河联运智慧平台</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11.</w:t>
      </w:r>
      <w:r w:rsidRPr="00CF0586">
        <w:rPr>
          <w:rFonts w:ascii="Times New Roman" w:cs="Times New Roman" w:hint="eastAsia"/>
          <w:szCs w:val="32"/>
        </w:rPr>
        <w:t>搭建海河联运在线信息平台。</w:t>
      </w:r>
      <w:r w:rsidRPr="00CF0586">
        <w:rPr>
          <w:rFonts w:ascii="Times New Roman" w:cs="Times New Roman" w:hint="eastAsia"/>
          <w:szCs w:val="20"/>
        </w:rPr>
        <w:t>以数字化改革为牵引，加快海河联运在线平台应用，重点打造“海河联运一张图、船舶货物一线牵、物流信息</w:t>
      </w:r>
      <w:proofErr w:type="gramStart"/>
      <w:r w:rsidRPr="00CF0586">
        <w:rPr>
          <w:rFonts w:ascii="Times New Roman" w:cs="Times New Roman" w:hint="eastAsia"/>
          <w:szCs w:val="20"/>
        </w:rPr>
        <w:t>一</w:t>
      </w:r>
      <w:proofErr w:type="gramEnd"/>
      <w:r w:rsidRPr="00CF0586">
        <w:rPr>
          <w:rFonts w:ascii="Times New Roman" w:cs="Times New Roman" w:hint="eastAsia"/>
          <w:szCs w:val="20"/>
        </w:rPr>
        <w:t>点清、企业申报一路通、政府监管一体化”场景应用，同时融合服务于海河联运的安全、环保、生产等应用，支持“嘉海通”场景建设，</w:t>
      </w:r>
      <w:r w:rsidRPr="00CF0586">
        <w:rPr>
          <w:rFonts w:ascii="Times New Roman" w:cs="Times New Roman" w:hint="eastAsia"/>
          <w:szCs w:val="32"/>
        </w:rPr>
        <w:t>实现集装箱多式联运信息互联共享。</w:t>
      </w:r>
      <w:r w:rsidRPr="00CF0586">
        <w:rPr>
          <w:rFonts w:ascii="Times New Roman" w:eastAsia="楷体_GB2312" w:cs="Times New Roman" w:hint="eastAsia"/>
          <w:szCs w:val="32"/>
        </w:rPr>
        <w:t>（省海港集团嘉兴公司、嘉兴海事局、市交通运输局）</w:t>
      </w:r>
    </w:p>
    <w:p w:rsidR="00EC696C" w:rsidRPr="00CF0586" w:rsidRDefault="00407F56">
      <w:pPr>
        <w:overflowPunct w:val="0"/>
        <w:adjustRightInd w:val="0"/>
        <w:snapToGrid w:val="0"/>
        <w:ind w:firstLineChars="250" w:firstLine="800"/>
        <w:rPr>
          <w:rFonts w:ascii="Times New Roman" w:cs="Times New Roman"/>
          <w:szCs w:val="32"/>
        </w:rPr>
      </w:pPr>
      <w:r w:rsidRPr="00CF0586">
        <w:rPr>
          <w:rFonts w:ascii="Times New Roman" w:cs="Times New Roman" w:hint="eastAsia"/>
          <w:szCs w:val="32"/>
        </w:rPr>
        <w:t>12.</w:t>
      </w:r>
      <w:r w:rsidRPr="00CF0586">
        <w:rPr>
          <w:rFonts w:ascii="Times New Roman" w:cs="Times New Roman" w:hint="eastAsia"/>
          <w:szCs w:val="32"/>
        </w:rPr>
        <w:t>加快培育内河集装箱货代企业。鼓励内河集装箱货运代理企业与港口、航运及货主企业深化合作，加快提升专业化、精细化、特色化经营管理水平，向现代化全程物流企业转型。支持内河集装箱货运代理企业专业队伍能力建设。支持货运代理企业发挥资源优势，吸引外贸</w:t>
      </w:r>
      <w:proofErr w:type="gramStart"/>
      <w:r w:rsidRPr="00CF0586">
        <w:rPr>
          <w:rFonts w:ascii="Times New Roman" w:cs="Times New Roman" w:hint="eastAsia"/>
          <w:szCs w:val="32"/>
        </w:rPr>
        <w:t>企业箱源从</w:t>
      </w:r>
      <w:proofErr w:type="gramEnd"/>
      <w:r w:rsidRPr="00CF0586">
        <w:rPr>
          <w:rFonts w:ascii="Times New Roman" w:cs="Times New Roman" w:hint="eastAsia"/>
          <w:szCs w:val="32"/>
        </w:rPr>
        <w:t>公路运输向内河航运转移。到</w:t>
      </w:r>
      <w:r w:rsidRPr="00CF0586">
        <w:rPr>
          <w:rFonts w:ascii="Times New Roman" w:cs="Times New Roman" w:hint="eastAsia"/>
          <w:szCs w:val="32"/>
        </w:rPr>
        <w:t>2025</w:t>
      </w:r>
      <w:r w:rsidRPr="00CF0586">
        <w:rPr>
          <w:rFonts w:ascii="Times New Roman" w:cs="Times New Roman" w:hint="eastAsia"/>
          <w:szCs w:val="32"/>
        </w:rPr>
        <w:t>年，形成</w:t>
      </w:r>
      <w:r w:rsidRPr="00CF0586">
        <w:rPr>
          <w:rFonts w:ascii="Times New Roman" w:cs="Times New Roman" w:hint="eastAsia"/>
          <w:szCs w:val="32"/>
        </w:rPr>
        <w:t>5</w:t>
      </w:r>
      <w:r w:rsidRPr="00CF0586">
        <w:rPr>
          <w:rFonts w:ascii="Times New Roman" w:cs="Times New Roman" w:hint="eastAsia"/>
          <w:szCs w:val="32"/>
        </w:rPr>
        <w:t>家以上内河集装箱年代理箱量超过</w:t>
      </w:r>
      <w:r w:rsidRPr="00CF0586">
        <w:rPr>
          <w:rFonts w:ascii="Times New Roman" w:cs="Times New Roman" w:hint="eastAsia"/>
          <w:szCs w:val="32"/>
        </w:rPr>
        <w:t>1</w:t>
      </w:r>
      <w:r w:rsidRPr="00CF0586">
        <w:rPr>
          <w:rFonts w:ascii="Times New Roman" w:cs="Times New Roman" w:hint="eastAsia"/>
          <w:szCs w:val="32"/>
        </w:rPr>
        <w:t>万标箱的骨干货运代理企业。</w:t>
      </w:r>
      <w:r w:rsidRPr="00CF0586">
        <w:rPr>
          <w:rFonts w:ascii="Times New Roman" w:eastAsia="楷体_GB2312" w:cs="Times New Roman" w:hint="eastAsia"/>
          <w:szCs w:val="32"/>
        </w:rPr>
        <w:t>（省海港集团嘉兴公司、市交通运输局、嘉兴海事局）</w:t>
      </w:r>
    </w:p>
    <w:p w:rsidR="00EC696C" w:rsidRPr="00CF0586" w:rsidRDefault="00407F56">
      <w:pPr>
        <w:overflowPunct w:val="0"/>
        <w:adjustRightInd w:val="0"/>
        <w:snapToGrid w:val="0"/>
        <w:ind w:firstLineChars="200" w:firstLine="640"/>
        <w:rPr>
          <w:rFonts w:ascii="Times New Roman" w:eastAsia="楷体_GB2312" w:cs="Times New Roman"/>
          <w:szCs w:val="32"/>
        </w:rPr>
      </w:pPr>
      <w:r w:rsidRPr="00CF0586">
        <w:rPr>
          <w:rFonts w:ascii="Times New Roman" w:cs="Times New Roman" w:hint="eastAsia"/>
          <w:szCs w:val="32"/>
        </w:rPr>
        <w:t>13.</w:t>
      </w:r>
      <w:r w:rsidRPr="00CF0586">
        <w:rPr>
          <w:rFonts w:ascii="Times New Roman" w:cs="Times New Roman" w:hint="eastAsia"/>
          <w:szCs w:val="32"/>
        </w:rPr>
        <w:t>推进外贸企业定制化服务。创新服务方式，提供“门到门”“一单制”全程物流服务。采用内外贸同船、舱位共享模式，鼓励网络货运平台企业进入水路运输领域发展。拓展服务范围，为大型工业园区、骨干外贸企业、龙头物流企业等提供高效便捷的定制化、全链条、高品质物流服务，吸引更多的外贸企业与</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合作。</w:t>
      </w:r>
      <w:r w:rsidRPr="00CF0586">
        <w:rPr>
          <w:rFonts w:ascii="Times New Roman" w:eastAsia="楷体_GB2312" w:cs="Times New Roman" w:hint="eastAsia"/>
          <w:szCs w:val="32"/>
        </w:rPr>
        <w:t>（省海港集团嘉兴公司、市商务局、市经信局、市交通运输局）</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lastRenderedPageBreak/>
        <w:t>14.</w:t>
      </w:r>
      <w:r w:rsidRPr="00CF0586">
        <w:rPr>
          <w:rFonts w:ascii="Times New Roman" w:cs="Times New Roman" w:hint="eastAsia"/>
          <w:szCs w:val="32"/>
        </w:rPr>
        <w:t>推动港口生产经营智能化。加快推进</w:t>
      </w:r>
      <w:r w:rsidRPr="00CF0586">
        <w:rPr>
          <w:rFonts w:ascii="Times New Roman" w:cs="Times New Roman" w:hint="eastAsia"/>
          <w:szCs w:val="32"/>
        </w:rPr>
        <w:t>5G</w:t>
      </w:r>
      <w:r w:rsidRPr="00CF0586">
        <w:rPr>
          <w:rFonts w:ascii="Times New Roman" w:cs="Times New Roman" w:hint="eastAsia"/>
          <w:szCs w:val="32"/>
        </w:rPr>
        <w:t>、北斗、物联网等新一代自主可控信息技术在</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的应用建设，持续提升内河集装箱运输无纸化应用。建设嘉兴市港航码头企业信息化监管平台，推进港口污染防治数字化全监管；推进</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和内河集装箱自动化、智能化码头建设，实现桥吊、龙门吊等大型港作机械设备全流程作业数字化、无线化，加快</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数字化转型。</w:t>
      </w:r>
      <w:r w:rsidRPr="00CF0586">
        <w:rPr>
          <w:rFonts w:ascii="Times New Roman" w:eastAsia="楷体_GB2312" w:cs="Times New Roman" w:hint="eastAsia"/>
          <w:szCs w:val="32"/>
        </w:rPr>
        <w:t>（市交通运输局、嘉兴海事局、省海港集团嘉兴公司）</w:t>
      </w:r>
    </w:p>
    <w:p w:rsidR="00EC696C" w:rsidRPr="00CF0586" w:rsidRDefault="00407F56">
      <w:pPr>
        <w:overflowPunct w:val="0"/>
        <w:adjustRightInd w:val="0"/>
        <w:snapToGrid w:val="0"/>
        <w:ind w:firstLineChars="200" w:firstLine="640"/>
        <w:rPr>
          <w:rFonts w:ascii="Times New Roman" w:eastAsia="楷体_GB2312" w:cs="Times New Roman"/>
          <w:szCs w:val="32"/>
        </w:rPr>
      </w:pPr>
      <w:r w:rsidRPr="00CF0586">
        <w:rPr>
          <w:rFonts w:ascii="Times New Roman" w:eastAsia="楷体_GB2312" w:cs="Times New Roman" w:hint="eastAsia"/>
          <w:szCs w:val="32"/>
        </w:rPr>
        <w:t>（五）扩大海河联运服务效能</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15.</w:t>
      </w:r>
      <w:r w:rsidRPr="00CF0586">
        <w:rPr>
          <w:rFonts w:ascii="Times New Roman" w:cs="Times New Roman" w:hint="eastAsia"/>
          <w:szCs w:val="32"/>
        </w:rPr>
        <w:t>提高对外开放水平。支持</w:t>
      </w:r>
      <w:proofErr w:type="gramStart"/>
      <w:r w:rsidRPr="00CF0586">
        <w:rPr>
          <w:rFonts w:ascii="Times New Roman" w:cs="Times New Roman" w:hint="eastAsia"/>
          <w:szCs w:val="32"/>
        </w:rPr>
        <w:t>嘉兴港新建</w:t>
      </w:r>
      <w:proofErr w:type="gramEnd"/>
      <w:r w:rsidR="00B03B61" w:rsidRPr="00CF0586">
        <w:rPr>
          <w:rFonts w:ascii="Times New Roman" w:cs="Times New Roman" w:hint="eastAsia"/>
          <w:szCs w:val="32"/>
        </w:rPr>
        <w:t>和在建、已建码头</w:t>
      </w:r>
      <w:r w:rsidRPr="00CF0586">
        <w:rPr>
          <w:rFonts w:ascii="Times New Roman" w:cs="Times New Roman" w:hint="eastAsia"/>
          <w:szCs w:val="32"/>
        </w:rPr>
        <w:t>泊位对外启用，加快浙北内河集装箱码头海关功能建设；持续提升</w:t>
      </w:r>
      <w:proofErr w:type="gramStart"/>
      <w:r w:rsidRPr="00CF0586">
        <w:rPr>
          <w:rFonts w:ascii="Times New Roman" w:cs="Times New Roman" w:hint="eastAsia"/>
          <w:szCs w:val="32"/>
        </w:rPr>
        <w:t>嘉兴港通关</w:t>
      </w:r>
      <w:proofErr w:type="gramEnd"/>
      <w:r w:rsidRPr="00CF0586">
        <w:rPr>
          <w:rFonts w:ascii="Times New Roman" w:cs="Times New Roman" w:hint="eastAsia"/>
          <w:szCs w:val="32"/>
        </w:rPr>
        <w:t>便利化水平，提高通关效率，不断巩固压缩整体通关时间；根据实际需要，支持</w:t>
      </w:r>
      <w:proofErr w:type="gramStart"/>
      <w:r w:rsidRPr="00CF0586">
        <w:rPr>
          <w:rFonts w:ascii="Times New Roman" w:cs="Times New Roman" w:hint="eastAsia"/>
          <w:szCs w:val="32"/>
        </w:rPr>
        <w:t>嘉兴港申</w:t>
      </w:r>
      <w:proofErr w:type="gramEnd"/>
      <w:r w:rsidRPr="00CF0586">
        <w:rPr>
          <w:rFonts w:ascii="Times New Roman" w:cs="Times New Roman" w:hint="eastAsia"/>
          <w:szCs w:val="32"/>
        </w:rPr>
        <w:t>建进境水果、粮食等指定监管场地。加强江港河港无水港等内陆港口与</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对接，依托嘉兴海河联运在线平台等，为长三角货运出港提供通关报检、班轮信息、仓储中转、中介代办等服务。</w:t>
      </w:r>
      <w:r w:rsidRPr="00CF0586">
        <w:rPr>
          <w:rFonts w:ascii="Times New Roman" w:eastAsia="楷体_GB2312" w:cs="Times New Roman" w:hint="eastAsia"/>
          <w:szCs w:val="32"/>
        </w:rPr>
        <w:t>（市口岸办、市交通运输局、嘉兴海关、嘉兴海事局、嘉兴边检站、嘉兴港区管委会、平湖市政府、海盐县政府）</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16.</w:t>
      </w:r>
      <w:r w:rsidRPr="00CF0586">
        <w:rPr>
          <w:rFonts w:ascii="Times New Roman" w:cs="Times New Roman" w:hint="eastAsia"/>
          <w:szCs w:val="32"/>
        </w:rPr>
        <w:t>打造海河联运集装箱箱管中心。加强与世界大型班轮公司合作，以宁波舟山港为依托、以</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为支撑，建设海河联运集装箱箱管中心，统筹区域空箱调度管理，增强海河联运</w:t>
      </w:r>
      <w:proofErr w:type="gramStart"/>
      <w:r w:rsidRPr="00CF0586">
        <w:rPr>
          <w:rFonts w:ascii="Times New Roman" w:cs="Times New Roman" w:hint="eastAsia"/>
          <w:szCs w:val="32"/>
        </w:rPr>
        <w:t>箱源保障</w:t>
      </w:r>
      <w:proofErr w:type="gramEnd"/>
      <w:r w:rsidRPr="00CF0586">
        <w:rPr>
          <w:rFonts w:ascii="Times New Roman" w:cs="Times New Roman" w:hint="eastAsia"/>
          <w:szCs w:val="32"/>
        </w:rPr>
        <w:t>能力；持续延伸海港功能，在杭嘉湖地区新建</w:t>
      </w:r>
      <w:r w:rsidRPr="00CF0586">
        <w:rPr>
          <w:rFonts w:ascii="Times New Roman" w:cs="Times New Roman" w:hint="eastAsia"/>
          <w:szCs w:val="32"/>
        </w:rPr>
        <w:t>5</w:t>
      </w:r>
      <w:r w:rsidRPr="00CF0586">
        <w:rPr>
          <w:rFonts w:ascii="Times New Roman" w:cs="Times New Roman" w:hint="eastAsia"/>
          <w:szCs w:val="32"/>
        </w:rPr>
        <w:t>个以上具备提还箱、提单签发、海运费结算等功能的提还箱点，不断便利外贸企业。</w:t>
      </w:r>
      <w:r w:rsidRPr="00CF0586">
        <w:rPr>
          <w:rFonts w:ascii="Times New Roman" w:eastAsia="楷体_GB2312" w:cs="Times New Roman" w:hint="eastAsia"/>
          <w:szCs w:val="32"/>
        </w:rPr>
        <w:t>（省海港集团嘉兴公司）</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lastRenderedPageBreak/>
        <w:t>17.</w:t>
      </w:r>
      <w:r w:rsidRPr="00CF0586">
        <w:rPr>
          <w:rFonts w:ascii="Times New Roman" w:cs="Times New Roman" w:hint="eastAsia"/>
          <w:szCs w:val="32"/>
        </w:rPr>
        <w:t>加快</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新航线开辟。发挥浙北杭嘉湖地区经济发达、货源充足，河网密布、航道通达、港</w:t>
      </w:r>
      <w:proofErr w:type="gramStart"/>
      <w:r w:rsidRPr="00CF0586">
        <w:rPr>
          <w:rFonts w:ascii="Times New Roman" w:cs="Times New Roman" w:hint="eastAsia"/>
          <w:szCs w:val="32"/>
        </w:rPr>
        <w:t>产城融合</w:t>
      </w:r>
      <w:proofErr w:type="gramEnd"/>
      <w:r w:rsidRPr="00CF0586">
        <w:rPr>
          <w:rFonts w:ascii="Times New Roman" w:cs="Times New Roman" w:hint="eastAsia"/>
          <w:szCs w:val="32"/>
        </w:rPr>
        <w:t>度高等优势，推动近洋航线向</w:t>
      </w:r>
      <w:proofErr w:type="gramStart"/>
      <w:r w:rsidRPr="00CF0586">
        <w:rPr>
          <w:rFonts w:ascii="Times New Roman" w:cs="Times New Roman" w:hint="eastAsia"/>
          <w:szCs w:val="32"/>
        </w:rPr>
        <w:t>嘉兴港转移</w:t>
      </w:r>
      <w:proofErr w:type="gramEnd"/>
      <w:r w:rsidRPr="00CF0586">
        <w:rPr>
          <w:rFonts w:ascii="Times New Roman" w:cs="Times New Roman" w:hint="eastAsia"/>
          <w:szCs w:val="32"/>
        </w:rPr>
        <w:t>，积极开拓东南亚及东北亚近洋航线业务，扩大港口辐射范围。新增近洋航线</w:t>
      </w:r>
      <w:r w:rsidRPr="00CF0586">
        <w:rPr>
          <w:rFonts w:ascii="Times New Roman" w:cs="Times New Roman" w:hint="eastAsia"/>
          <w:szCs w:val="32"/>
        </w:rPr>
        <w:t>5</w:t>
      </w:r>
      <w:r w:rsidRPr="00CF0586">
        <w:rPr>
          <w:rFonts w:ascii="Times New Roman" w:cs="Times New Roman" w:hint="eastAsia"/>
          <w:szCs w:val="32"/>
        </w:rPr>
        <w:t>条以上、内贸航线</w:t>
      </w:r>
      <w:r w:rsidRPr="00CF0586">
        <w:rPr>
          <w:rFonts w:ascii="Times New Roman" w:cs="Times New Roman" w:hint="eastAsia"/>
          <w:szCs w:val="32"/>
        </w:rPr>
        <w:t>4</w:t>
      </w:r>
      <w:r w:rsidRPr="00CF0586">
        <w:rPr>
          <w:rFonts w:ascii="Times New Roman" w:cs="Times New Roman" w:hint="eastAsia"/>
          <w:szCs w:val="32"/>
        </w:rPr>
        <w:t>条以上、内河班轮航线</w:t>
      </w:r>
      <w:r w:rsidRPr="00CF0586">
        <w:rPr>
          <w:rFonts w:ascii="Times New Roman" w:cs="Times New Roman" w:hint="eastAsia"/>
          <w:szCs w:val="32"/>
        </w:rPr>
        <w:t>15</w:t>
      </w:r>
      <w:r w:rsidRPr="00CF0586">
        <w:rPr>
          <w:rFonts w:ascii="Times New Roman" w:cs="Times New Roman" w:hint="eastAsia"/>
          <w:szCs w:val="32"/>
        </w:rPr>
        <w:t>条以上，持续提升腹地企业内外贸货物运输时效，持续降低企业物流成本，不断提升</w:t>
      </w:r>
      <w:proofErr w:type="gramStart"/>
      <w:r w:rsidRPr="00CF0586">
        <w:rPr>
          <w:rFonts w:ascii="Times New Roman" w:cs="Times New Roman" w:hint="eastAsia"/>
          <w:szCs w:val="32"/>
        </w:rPr>
        <w:t>嘉兴港</w:t>
      </w:r>
      <w:proofErr w:type="gramEnd"/>
      <w:r w:rsidRPr="00CF0586">
        <w:rPr>
          <w:rFonts w:ascii="Times New Roman" w:cs="Times New Roman" w:hint="eastAsia"/>
          <w:szCs w:val="32"/>
        </w:rPr>
        <w:t>国内外影响力和综合竞争力。</w:t>
      </w:r>
      <w:r w:rsidRPr="00CF0586">
        <w:rPr>
          <w:rFonts w:ascii="Times New Roman" w:eastAsia="楷体_GB2312" w:cs="Times New Roman" w:hint="eastAsia"/>
          <w:szCs w:val="32"/>
        </w:rPr>
        <w:t>（省海港集团嘉兴公司、市交通运输局）</w:t>
      </w:r>
    </w:p>
    <w:p w:rsidR="00EC696C" w:rsidRPr="00CF0586" w:rsidRDefault="00407F56">
      <w:pPr>
        <w:overflowPunct w:val="0"/>
        <w:adjustRightInd w:val="0"/>
        <w:snapToGrid w:val="0"/>
        <w:ind w:firstLineChars="200" w:firstLine="640"/>
        <w:rPr>
          <w:rFonts w:ascii="Times New Roman" w:eastAsia="楷体" w:cs="Times New Roman"/>
          <w:szCs w:val="32"/>
        </w:rPr>
      </w:pPr>
      <w:r w:rsidRPr="00CF0586">
        <w:rPr>
          <w:rFonts w:ascii="Times New Roman" w:cs="Times New Roman" w:hint="eastAsia"/>
          <w:szCs w:val="32"/>
        </w:rPr>
        <w:t>18.</w:t>
      </w:r>
      <w:r w:rsidRPr="00CF0586">
        <w:rPr>
          <w:rFonts w:ascii="Times New Roman" w:cs="Times New Roman" w:hint="eastAsia"/>
          <w:szCs w:val="32"/>
        </w:rPr>
        <w:t>推进港</w:t>
      </w:r>
      <w:proofErr w:type="gramStart"/>
      <w:r w:rsidRPr="00CF0586">
        <w:rPr>
          <w:rFonts w:ascii="Times New Roman" w:cs="Times New Roman" w:hint="eastAsia"/>
          <w:szCs w:val="32"/>
        </w:rPr>
        <w:t>产城融合</w:t>
      </w:r>
      <w:proofErr w:type="gramEnd"/>
      <w:r w:rsidRPr="00CF0586">
        <w:rPr>
          <w:rFonts w:ascii="Times New Roman" w:cs="Times New Roman" w:hint="eastAsia"/>
          <w:szCs w:val="32"/>
        </w:rPr>
        <w:t>联动发展。鼓励港口、航运、物流业深化合作，建立企业联盟，打造集装箱全程物流和一体化经营。统筹港口岸线与后方土地综合开发，促进港口企业与临港产业基地、物流园区等加强协作，推动港产联动发展。优化港</w:t>
      </w:r>
      <w:proofErr w:type="gramStart"/>
      <w:r w:rsidRPr="00CF0586">
        <w:rPr>
          <w:rFonts w:ascii="Times New Roman" w:cs="Times New Roman" w:hint="eastAsia"/>
          <w:szCs w:val="32"/>
        </w:rPr>
        <w:t>城功能</w:t>
      </w:r>
      <w:proofErr w:type="gramEnd"/>
      <w:r w:rsidRPr="00CF0586">
        <w:rPr>
          <w:rFonts w:ascii="Times New Roman" w:cs="Times New Roman" w:hint="eastAsia"/>
          <w:szCs w:val="32"/>
        </w:rPr>
        <w:t>布局，促进高端要素集成，创新港口集疏运模式，推进城市与港口协调发展。加强港务、船务、关务等港口数据互通共享，服务港口城市发展，提升港口对地方经济的贡献能力。</w:t>
      </w:r>
      <w:r w:rsidRPr="00CF0586">
        <w:rPr>
          <w:rFonts w:ascii="Times New Roman" w:eastAsia="楷体_GB2312" w:cs="Times New Roman" w:hint="eastAsia"/>
          <w:szCs w:val="32"/>
        </w:rPr>
        <w:t>（嘉兴港区管委会、平湖市政府、海盐县政府、市发展改革委、市交通运输局、省海港集团嘉兴公司）</w:t>
      </w:r>
    </w:p>
    <w:p w:rsidR="00EC696C" w:rsidRPr="00CF0586" w:rsidRDefault="00407F56">
      <w:pPr>
        <w:overflowPunct w:val="0"/>
        <w:adjustRightInd w:val="0"/>
        <w:snapToGrid w:val="0"/>
        <w:ind w:firstLineChars="200" w:firstLine="640"/>
        <w:rPr>
          <w:rFonts w:ascii="Times New Roman" w:eastAsia="楷体_GB2312" w:cs="Times New Roman"/>
          <w:szCs w:val="32"/>
        </w:rPr>
      </w:pPr>
      <w:r w:rsidRPr="00CF0586">
        <w:rPr>
          <w:rFonts w:ascii="Times New Roman" w:eastAsia="楷体_GB2312" w:cs="Times New Roman" w:hint="eastAsia"/>
          <w:szCs w:val="32"/>
        </w:rPr>
        <w:t>（六）优化海河联运发展环境</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19.</w:t>
      </w:r>
      <w:r w:rsidRPr="00CF0586">
        <w:rPr>
          <w:rFonts w:ascii="Times New Roman" w:cs="Times New Roman" w:hint="eastAsia"/>
          <w:szCs w:val="32"/>
        </w:rPr>
        <w:t>强化海河联运政策扶持。进一步强化政策扶持效应，在提高集装箱海河联运补助标准的同时，对集装箱航线开辟、内河班轮化运输、内贸</w:t>
      </w:r>
      <w:proofErr w:type="gramStart"/>
      <w:r w:rsidRPr="00CF0586">
        <w:rPr>
          <w:rFonts w:ascii="Times New Roman" w:cs="Times New Roman" w:hint="eastAsia"/>
          <w:szCs w:val="32"/>
        </w:rPr>
        <w:t>及散改集</w:t>
      </w:r>
      <w:proofErr w:type="gramEnd"/>
      <w:r w:rsidRPr="00CF0586">
        <w:rPr>
          <w:rFonts w:ascii="Times New Roman" w:cs="Times New Roman" w:hint="eastAsia"/>
          <w:szCs w:val="32"/>
        </w:rPr>
        <w:t>增量等方面给予政策性奖励。开展“散改集”运输模式改革，扎实推进件杂货、散货等适箱货物入箱运输。修订完善</w:t>
      </w:r>
      <w:r w:rsidRPr="00CF0586">
        <w:rPr>
          <w:rFonts w:ascii="Times New Roman" w:cs="Times New Roman" w:hint="eastAsia"/>
          <w:szCs w:val="32"/>
        </w:rPr>
        <w:t>130</w:t>
      </w:r>
      <w:r w:rsidRPr="00CF0586">
        <w:rPr>
          <w:rFonts w:ascii="Times New Roman" w:cs="Times New Roman" w:hint="eastAsia"/>
          <w:szCs w:val="32"/>
        </w:rPr>
        <w:t>元</w:t>
      </w:r>
      <w:r w:rsidRPr="00CF0586">
        <w:rPr>
          <w:rFonts w:ascii="Times New Roman" w:cs="Times New Roman" w:hint="eastAsia"/>
          <w:szCs w:val="32"/>
        </w:rPr>
        <w:t>/</w:t>
      </w:r>
      <w:r w:rsidRPr="00CF0586">
        <w:rPr>
          <w:rFonts w:ascii="Times New Roman" w:cs="Times New Roman" w:hint="eastAsia"/>
          <w:szCs w:val="32"/>
        </w:rPr>
        <w:t>标箱集装箱海河联运政策，推动近洋航线扶持政策补助到位；研究出台嘉兴市</w:t>
      </w:r>
      <w:r w:rsidRPr="00CF0586">
        <w:rPr>
          <w:rFonts w:ascii="Times New Roman" w:cs="Times New Roman" w:hint="eastAsia"/>
          <w:szCs w:val="32"/>
        </w:rPr>
        <w:lastRenderedPageBreak/>
        <w:t>集装箱海河联运高质量发展扶持办法。</w:t>
      </w:r>
      <w:r w:rsidRPr="00CF0586">
        <w:rPr>
          <w:rFonts w:ascii="Times New Roman" w:eastAsia="楷体_GB2312" w:cs="Times New Roman" w:hint="eastAsia"/>
          <w:szCs w:val="32"/>
        </w:rPr>
        <w:t>（市发展改革委、市财政局、市交通运输局）</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20.</w:t>
      </w:r>
      <w:r w:rsidRPr="00CF0586">
        <w:rPr>
          <w:rFonts w:ascii="Times New Roman" w:cs="Times New Roman" w:hint="eastAsia"/>
          <w:szCs w:val="32"/>
        </w:rPr>
        <w:t>优化集装箱运输环境。持续深化港</w:t>
      </w:r>
      <w:proofErr w:type="gramStart"/>
      <w:r w:rsidRPr="00CF0586">
        <w:rPr>
          <w:rFonts w:ascii="Times New Roman" w:cs="Times New Roman" w:hint="eastAsia"/>
          <w:szCs w:val="32"/>
        </w:rPr>
        <w:t>航领域</w:t>
      </w:r>
      <w:proofErr w:type="gramEnd"/>
      <w:r w:rsidRPr="00CF0586">
        <w:rPr>
          <w:rFonts w:ascii="Times New Roman" w:cs="Times New Roman" w:hint="eastAsia"/>
          <w:szCs w:val="32"/>
        </w:rPr>
        <w:t>“放管服”改革，完善内河集装箱运输发展相关制度、内河船舶配员标准，降低海河联运运输成本。支持港口企业为集装箱抵港船舶提供</w:t>
      </w:r>
      <w:proofErr w:type="gramStart"/>
      <w:r w:rsidRPr="00CF0586">
        <w:rPr>
          <w:rFonts w:ascii="Times New Roman" w:cs="Times New Roman" w:hint="eastAsia"/>
          <w:szCs w:val="32"/>
        </w:rPr>
        <w:t>优先靠</w:t>
      </w:r>
      <w:proofErr w:type="gramEnd"/>
      <w:r w:rsidRPr="00CF0586">
        <w:rPr>
          <w:rFonts w:ascii="Times New Roman" w:cs="Times New Roman" w:hint="eastAsia"/>
          <w:szCs w:val="32"/>
        </w:rPr>
        <w:t>离泊、装卸等便利服务。协调推动长三角地区在内河集装箱船</w:t>
      </w:r>
      <w:proofErr w:type="gramStart"/>
      <w:r w:rsidRPr="00CF0586">
        <w:rPr>
          <w:rFonts w:ascii="Times New Roman" w:cs="Times New Roman" w:hint="eastAsia"/>
          <w:szCs w:val="32"/>
        </w:rPr>
        <w:t>舶</w:t>
      </w:r>
      <w:proofErr w:type="gramEnd"/>
      <w:r w:rsidRPr="00CF0586">
        <w:rPr>
          <w:rFonts w:ascii="Times New Roman" w:cs="Times New Roman" w:hint="eastAsia"/>
          <w:szCs w:val="32"/>
        </w:rPr>
        <w:t>多证联办、信息化服务等方面营造公平同等政策环境。</w:t>
      </w:r>
      <w:r w:rsidRPr="00CF0586">
        <w:rPr>
          <w:rFonts w:ascii="Times New Roman" w:eastAsia="楷体_GB2312" w:cs="Times New Roman" w:hint="eastAsia"/>
          <w:szCs w:val="32"/>
        </w:rPr>
        <w:t>（市交通运输局、嘉兴海事局、省海港集团嘉兴公司）</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21.</w:t>
      </w:r>
      <w:r w:rsidRPr="00CF0586">
        <w:rPr>
          <w:rFonts w:ascii="Times New Roman" w:cs="Times New Roman" w:hint="eastAsia"/>
          <w:szCs w:val="32"/>
        </w:rPr>
        <w:t>加强安全设施建设。推进平安港口建设，提高码头现场监控可视化覆盖率，提升本质安全水平。强化港口作业和</w:t>
      </w:r>
      <w:proofErr w:type="gramStart"/>
      <w:r w:rsidRPr="00CF0586">
        <w:rPr>
          <w:rFonts w:ascii="Times New Roman" w:cs="Times New Roman" w:hint="eastAsia"/>
          <w:szCs w:val="32"/>
        </w:rPr>
        <w:t>危货</w:t>
      </w:r>
      <w:proofErr w:type="gramEnd"/>
      <w:r w:rsidRPr="00CF0586">
        <w:rPr>
          <w:rFonts w:ascii="Times New Roman" w:cs="Times New Roman" w:hint="eastAsia"/>
          <w:szCs w:val="32"/>
        </w:rPr>
        <w:t>储运安全生产条件和管理薄弱环节治理，消除各类隐患，确保生产环境和设备设施始终处于良好状态。建设“浙江海上智控平台”本地化应用场景，实现船舶交通组织一体化。</w:t>
      </w:r>
      <w:r w:rsidRPr="00CF0586">
        <w:rPr>
          <w:rFonts w:ascii="Times New Roman" w:eastAsia="楷体_GB2312" w:cs="Times New Roman" w:hint="eastAsia"/>
          <w:szCs w:val="32"/>
        </w:rPr>
        <w:t>（市交通运输局、嘉兴海事局、省海港集团嘉兴公司、平湖市政府、嘉兴港区管委会、海盐县政府）</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cs="Times New Roman" w:hint="eastAsia"/>
          <w:szCs w:val="32"/>
        </w:rPr>
        <w:t>22.</w:t>
      </w:r>
      <w:r w:rsidRPr="00CF0586">
        <w:rPr>
          <w:rFonts w:ascii="Times New Roman" w:cs="Times New Roman" w:hint="eastAsia"/>
          <w:szCs w:val="32"/>
        </w:rPr>
        <w:t>加强应急能力建设。推进船舶污染应急能力提升，完成防治船舶及其有关作业活动污染海洋环境应急能力建设规划建设。强化海上搜救分中心队伍建设和应急设备物资配备，定期组织应急演练，提高应急保障和处置能力。完善应急预案体系，优化应急决策机制，加强各部门有效衔接。</w:t>
      </w:r>
      <w:r w:rsidRPr="00CF0586">
        <w:rPr>
          <w:rFonts w:ascii="Times New Roman" w:eastAsia="楷体_GB2312" w:cs="Times New Roman" w:hint="eastAsia"/>
          <w:szCs w:val="32"/>
        </w:rPr>
        <w:t>（平湖市政府、嘉兴港区管委会、海盐县政府、嘉兴海事局、市交通运输局）</w:t>
      </w:r>
    </w:p>
    <w:p w:rsidR="00EC696C" w:rsidRPr="00CF0586" w:rsidRDefault="00407F56">
      <w:pPr>
        <w:overflowPunct w:val="0"/>
        <w:adjustRightInd w:val="0"/>
        <w:snapToGrid w:val="0"/>
        <w:ind w:firstLineChars="200" w:firstLine="640"/>
        <w:rPr>
          <w:rFonts w:ascii="Times New Roman" w:eastAsia="黑体" w:cs="Times New Roman"/>
          <w:szCs w:val="32"/>
        </w:rPr>
      </w:pPr>
      <w:r w:rsidRPr="00CF0586">
        <w:rPr>
          <w:rFonts w:ascii="Times New Roman" w:eastAsia="黑体" w:cs="Times New Roman" w:hint="eastAsia"/>
          <w:szCs w:val="32"/>
        </w:rPr>
        <w:t>三、保障措施</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eastAsia="楷体_GB2312" w:cs="Times New Roman" w:hint="eastAsia"/>
          <w:szCs w:val="32"/>
        </w:rPr>
        <w:lastRenderedPageBreak/>
        <w:t>（一）健全组织机构。</w:t>
      </w:r>
      <w:r w:rsidRPr="00CF0586">
        <w:rPr>
          <w:rFonts w:ascii="Times New Roman" w:cs="Times New Roman" w:hint="eastAsia"/>
          <w:szCs w:val="32"/>
        </w:rPr>
        <w:t>在“枢纽嘉兴”大会战暨交通强市建设指挥部的领导下，成立嘉兴市建设长三角海河联运枢纽港工作专班，落实专人负责，建立推进协调机制，</w:t>
      </w:r>
      <w:r w:rsidRPr="00CF0586">
        <w:rPr>
          <w:rFonts w:ascii="Times New Roman" w:cs="Times New Roman" w:hint="eastAsia"/>
          <w:bCs/>
          <w:szCs w:val="32"/>
        </w:rPr>
        <w:t>定期召开专班工作会议。</w:t>
      </w:r>
      <w:r w:rsidRPr="00CF0586">
        <w:rPr>
          <w:rFonts w:ascii="Times New Roman" w:cs="Times New Roman" w:hint="eastAsia"/>
          <w:szCs w:val="32"/>
        </w:rPr>
        <w:t>办公室设在市交通运输局，统筹协调重大项目、重大任务，及时研究解决工作推进中的困难问题。</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eastAsia="楷体_GB2312" w:cs="Times New Roman" w:hint="eastAsia"/>
          <w:szCs w:val="32"/>
        </w:rPr>
        <w:t>（二）加强责任落实。</w:t>
      </w:r>
      <w:r w:rsidRPr="00CF0586">
        <w:rPr>
          <w:rFonts w:ascii="Times New Roman" w:cs="Times New Roman" w:hint="eastAsia"/>
          <w:szCs w:val="32"/>
        </w:rPr>
        <w:t>市级相关部门要按职责分工，创新工作举措，落实海河联运相关扶持政策，强化土地资金等要素保障，推动完成各项重点任务。各县（市、区）政府要切实履行属地主体责任，加强组织协调、政策支持和力量配置。浙江海港嘉兴港务公司要充分发挥主平台主力军作用，加大市场化投入力度，加快港口能力建设和服务水平提升，努力打造大湾区发展中“一环”引领北翼桥头堡，服务嘉兴地方经济发展，服务世界</w:t>
      </w:r>
      <w:proofErr w:type="gramStart"/>
      <w:r w:rsidRPr="00CF0586">
        <w:rPr>
          <w:rFonts w:ascii="Times New Roman" w:cs="Times New Roman" w:hint="eastAsia"/>
          <w:szCs w:val="32"/>
        </w:rPr>
        <w:t>一流强港建设</w:t>
      </w:r>
      <w:proofErr w:type="gramEnd"/>
      <w:r w:rsidRPr="00CF0586">
        <w:rPr>
          <w:rFonts w:ascii="Times New Roman" w:cs="Times New Roman" w:hint="eastAsia"/>
          <w:szCs w:val="32"/>
        </w:rPr>
        <w:t>。</w:t>
      </w:r>
    </w:p>
    <w:p w:rsidR="00EC696C" w:rsidRPr="00CF0586" w:rsidRDefault="00407F56">
      <w:pPr>
        <w:overflowPunct w:val="0"/>
        <w:adjustRightInd w:val="0"/>
        <w:snapToGrid w:val="0"/>
        <w:ind w:firstLineChars="200" w:firstLine="640"/>
        <w:rPr>
          <w:rFonts w:ascii="Times New Roman" w:cs="Times New Roman"/>
          <w:szCs w:val="32"/>
        </w:rPr>
      </w:pPr>
      <w:r w:rsidRPr="00CF0586">
        <w:rPr>
          <w:rFonts w:ascii="Times New Roman" w:eastAsia="楷体_GB2312" w:cs="Times New Roman" w:hint="eastAsia"/>
          <w:szCs w:val="32"/>
        </w:rPr>
        <w:t>（三）强化督查考核。</w:t>
      </w:r>
      <w:r w:rsidRPr="00CF0586">
        <w:rPr>
          <w:rFonts w:ascii="Times New Roman" w:cs="Times New Roman" w:hint="eastAsia"/>
          <w:szCs w:val="32"/>
        </w:rPr>
        <w:t>强化考核的指挥棒作用，将海河联运枢纽建设重大项目、重大任务纳入年度目标考核体系，明确责任分工、工作要求和时间节点；加大监督检查力度，建立工作台账，跟踪各项工作落实，及时协调解决实施过程中的困难和问题。各属地政府、各相关单位每半年向市级工作专班报送工作推进情况，认真总结相关经验</w:t>
      </w:r>
      <w:r w:rsidRPr="00CF0586">
        <w:rPr>
          <w:rFonts w:ascii="Times New Roman" w:cs="仿宋_GB2312" w:hint="eastAsia"/>
          <w:szCs w:val="32"/>
        </w:rPr>
        <w:t>，推动更多理论制度和实践成果走出嘉兴、走向全国。</w:t>
      </w:r>
    </w:p>
    <w:p w:rsidR="00EC696C" w:rsidRPr="00CF0586" w:rsidRDefault="00EC696C">
      <w:pPr>
        <w:overflowPunct w:val="0"/>
        <w:adjustRightInd w:val="0"/>
        <w:snapToGrid w:val="0"/>
        <w:ind w:firstLineChars="200" w:firstLine="640"/>
        <w:rPr>
          <w:rFonts w:ascii="Times New Roman" w:cs="Times New Roman"/>
          <w:szCs w:val="32"/>
        </w:rPr>
      </w:pPr>
    </w:p>
    <w:p w:rsidR="00EC696C" w:rsidRPr="00CF0586" w:rsidRDefault="00407F56">
      <w:pPr>
        <w:overflowPunct w:val="0"/>
        <w:adjustRightInd w:val="0"/>
        <w:snapToGrid w:val="0"/>
        <w:ind w:firstLineChars="200" w:firstLine="640"/>
        <w:rPr>
          <w:rFonts w:ascii="Times New Roman" w:cs="Times New Roman"/>
          <w:szCs w:val="20"/>
        </w:rPr>
      </w:pPr>
      <w:r w:rsidRPr="00CF0586">
        <w:rPr>
          <w:rFonts w:ascii="Times New Roman" w:cs="Times New Roman" w:hint="eastAsia"/>
          <w:szCs w:val="32"/>
        </w:rPr>
        <w:t>附件：“十四五”期间</w:t>
      </w:r>
      <w:r w:rsidRPr="00CF0586">
        <w:rPr>
          <w:rFonts w:ascii="Times New Roman" w:cs="Times New Roman" w:hint="eastAsia"/>
          <w:szCs w:val="20"/>
        </w:rPr>
        <w:t>重点</w:t>
      </w:r>
      <w:r w:rsidRPr="00CF0586">
        <w:rPr>
          <w:rFonts w:ascii="Times New Roman" w:cs="Times New Roman"/>
          <w:szCs w:val="20"/>
        </w:rPr>
        <w:t>项目实施计划表</w:t>
      </w:r>
    </w:p>
    <w:p w:rsidR="00EC696C" w:rsidRPr="00CF0586" w:rsidRDefault="00EC696C">
      <w:pPr>
        <w:autoSpaceDE w:val="0"/>
        <w:autoSpaceDN w:val="0"/>
        <w:adjustRightInd w:val="0"/>
        <w:spacing w:line="240" w:lineRule="auto"/>
        <w:ind w:firstLine="0"/>
        <w:jc w:val="left"/>
        <w:rPr>
          <w:rFonts w:ascii="Times New Roman" w:eastAsia="宋体" w:cs="宋体"/>
          <w:kern w:val="0"/>
          <w:sz w:val="24"/>
          <w:szCs w:val="24"/>
        </w:rPr>
        <w:sectPr w:rsidR="00EC696C" w:rsidRPr="00CF0586">
          <w:footerReference w:type="default" r:id="rId8"/>
          <w:pgSz w:w="11906" w:h="16838"/>
          <w:pgMar w:top="1440" w:right="1797" w:bottom="1440" w:left="1797" w:header="851" w:footer="1020" w:gutter="0"/>
          <w:cols w:space="0"/>
          <w:docGrid w:type="lines" w:linePitch="436"/>
        </w:sectPr>
      </w:pPr>
    </w:p>
    <w:p w:rsidR="00EC696C" w:rsidRPr="00CF0586" w:rsidRDefault="00407F56">
      <w:pPr>
        <w:spacing w:line="240" w:lineRule="auto"/>
        <w:ind w:firstLine="0"/>
        <w:rPr>
          <w:rFonts w:ascii="Times New Roman" w:eastAsia="黑体" w:cs="黑体"/>
          <w:kern w:val="0"/>
          <w:szCs w:val="32"/>
        </w:rPr>
      </w:pPr>
      <w:r w:rsidRPr="00CF0586">
        <w:rPr>
          <w:rFonts w:ascii="Times New Roman" w:eastAsia="黑体" w:cs="黑体" w:hint="eastAsia"/>
          <w:kern w:val="0"/>
          <w:szCs w:val="32"/>
        </w:rPr>
        <w:lastRenderedPageBreak/>
        <w:t>附件</w:t>
      </w:r>
    </w:p>
    <w:p w:rsidR="00EC696C" w:rsidRPr="00CF0586" w:rsidRDefault="00407F56">
      <w:pPr>
        <w:spacing w:line="240" w:lineRule="auto"/>
        <w:ind w:firstLine="0"/>
        <w:jc w:val="center"/>
        <w:rPr>
          <w:rFonts w:ascii="Times New Roman" w:eastAsia="方正小标宋简体" w:cs="Times New Roman"/>
          <w:sz w:val="44"/>
          <w:szCs w:val="44"/>
        </w:rPr>
      </w:pPr>
      <w:r w:rsidRPr="00CF0586">
        <w:rPr>
          <w:rFonts w:ascii="Times New Roman" w:eastAsia="方正小标宋简体" w:cs="Times New Roman" w:hint="eastAsia"/>
          <w:sz w:val="44"/>
          <w:szCs w:val="44"/>
        </w:rPr>
        <w:t>“十四五”期间重点项目实施计划表</w:t>
      </w:r>
    </w:p>
    <w:tbl>
      <w:tblPr>
        <w:tblW w:w="14560" w:type="dxa"/>
        <w:jc w:val="center"/>
        <w:tblLayout w:type="fixed"/>
        <w:tblLook w:val="04A0" w:firstRow="1" w:lastRow="0" w:firstColumn="1" w:lastColumn="0" w:noHBand="0" w:noVBand="1"/>
      </w:tblPr>
      <w:tblGrid>
        <w:gridCol w:w="696"/>
        <w:gridCol w:w="2365"/>
        <w:gridCol w:w="2185"/>
        <w:gridCol w:w="1166"/>
        <w:gridCol w:w="1295"/>
        <w:gridCol w:w="1011"/>
        <w:gridCol w:w="1011"/>
        <w:gridCol w:w="1056"/>
        <w:gridCol w:w="1701"/>
        <w:gridCol w:w="2074"/>
      </w:tblGrid>
      <w:tr w:rsidR="00EC696C" w:rsidRPr="00CF0586">
        <w:trPr>
          <w:trHeight w:val="454"/>
          <w:tblHeader/>
          <w:jc w:val="center"/>
        </w:trPr>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序号</w:t>
            </w:r>
          </w:p>
        </w:tc>
        <w:tc>
          <w:tcPr>
            <w:tcW w:w="2365" w:type="dxa"/>
            <w:tcBorders>
              <w:top w:val="single" w:sz="8" w:space="0" w:color="auto"/>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项目名称</w:t>
            </w:r>
          </w:p>
        </w:tc>
        <w:tc>
          <w:tcPr>
            <w:tcW w:w="2185" w:type="dxa"/>
            <w:tcBorders>
              <w:top w:val="single" w:sz="8" w:space="0" w:color="auto"/>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项目概况</w:t>
            </w:r>
          </w:p>
        </w:tc>
        <w:tc>
          <w:tcPr>
            <w:tcW w:w="1166" w:type="dxa"/>
            <w:tcBorders>
              <w:top w:val="single" w:sz="8" w:space="0" w:color="auto"/>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总投资（亿元）</w:t>
            </w:r>
          </w:p>
        </w:tc>
        <w:tc>
          <w:tcPr>
            <w:tcW w:w="1295" w:type="dxa"/>
            <w:tcBorders>
              <w:top w:val="single" w:sz="8" w:space="0" w:color="auto"/>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leftChars="-50" w:left="-160" w:rightChars="-50" w:right="-160"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“十四五”</w:t>
            </w:r>
          </w:p>
          <w:p w:rsidR="00EC696C" w:rsidRPr="00CF0586" w:rsidRDefault="00407F56">
            <w:pPr>
              <w:widowControl/>
              <w:spacing w:line="360" w:lineRule="exact"/>
              <w:ind w:leftChars="-50" w:left="-160" w:rightChars="-50" w:right="-160"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投资</w:t>
            </w:r>
          </w:p>
          <w:p w:rsidR="00EC696C" w:rsidRPr="00CF0586" w:rsidRDefault="00407F56">
            <w:pPr>
              <w:widowControl/>
              <w:spacing w:line="360" w:lineRule="exact"/>
              <w:ind w:leftChars="-50" w:left="-160" w:rightChars="-50" w:right="-160"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（亿元）</w:t>
            </w:r>
          </w:p>
        </w:tc>
        <w:tc>
          <w:tcPr>
            <w:tcW w:w="1011" w:type="dxa"/>
            <w:tcBorders>
              <w:top w:val="single" w:sz="8" w:space="0" w:color="auto"/>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开工年</w:t>
            </w:r>
          </w:p>
        </w:tc>
        <w:tc>
          <w:tcPr>
            <w:tcW w:w="1011" w:type="dxa"/>
            <w:tcBorders>
              <w:top w:val="single" w:sz="8" w:space="0" w:color="auto"/>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完工年</w:t>
            </w:r>
          </w:p>
        </w:tc>
        <w:tc>
          <w:tcPr>
            <w:tcW w:w="1056" w:type="dxa"/>
            <w:tcBorders>
              <w:top w:val="single" w:sz="8" w:space="0" w:color="auto"/>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总用地（亩）</w:t>
            </w:r>
          </w:p>
        </w:tc>
        <w:tc>
          <w:tcPr>
            <w:tcW w:w="1701" w:type="dxa"/>
            <w:tcBorders>
              <w:top w:val="single" w:sz="8" w:space="0" w:color="auto"/>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责任单位</w:t>
            </w:r>
          </w:p>
        </w:tc>
        <w:tc>
          <w:tcPr>
            <w:tcW w:w="2074" w:type="dxa"/>
            <w:tcBorders>
              <w:top w:val="single" w:sz="8" w:space="0" w:color="auto"/>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配合单位</w:t>
            </w:r>
          </w:p>
        </w:tc>
      </w:tr>
      <w:tr w:rsidR="00EC696C" w:rsidRPr="00CF0586">
        <w:trPr>
          <w:trHeight w:val="454"/>
          <w:jc w:val="center"/>
        </w:trPr>
        <w:tc>
          <w:tcPr>
            <w:tcW w:w="5246"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Cs/>
                <w:snapToGrid w:val="0"/>
                <w:kern w:val="0"/>
                <w:sz w:val="24"/>
                <w:szCs w:val="24"/>
              </w:rPr>
            </w:pPr>
            <w:r w:rsidRPr="00CF0586">
              <w:rPr>
                <w:rFonts w:ascii="黑体" w:eastAsia="黑体" w:hAnsi="黑体" w:cs="黑体" w:hint="eastAsia"/>
                <w:bCs/>
                <w:snapToGrid w:val="0"/>
                <w:kern w:val="0"/>
                <w:sz w:val="24"/>
                <w:szCs w:val="24"/>
              </w:rPr>
              <w:t>合计</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rsidP="00184BB2">
            <w:pPr>
              <w:widowControl/>
              <w:spacing w:line="360" w:lineRule="exact"/>
              <w:ind w:firstLine="0"/>
              <w:jc w:val="center"/>
              <w:rPr>
                <w:rFonts w:ascii="黑体" w:eastAsia="黑体" w:hAnsi="黑体" w:cs="黑体"/>
                <w:b/>
                <w:bCs/>
                <w:snapToGrid w:val="0"/>
                <w:kern w:val="0"/>
                <w:sz w:val="24"/>
                <w:szCs w:val="24"/>
              </w:rPr>
            </w:pPr>
            <w:r w:rsidRPr="00CF0586">
              <w:rPr>
                <w:rFonts w:ascii="黑体" w:eastAsia="黑体" w:hAnsi="黑体" w:cs="黑体" w:hint="eastAsia"/>
                <w:b/>
                <w:bCs/>
                <w:snapToGrid w:val="0"/>
                <w:kern w:val="0"/>
                <w:sz w:val="24"/>
                <w:szCs w:val="24"/>
              </w:rPr>
              <w:t>9</w:t>
            </w:r>
            <w:r w:rsidR="00184BB2" w:rsidRPr="00CF0586">
              <w:rPr>
                <w:rFonts w:ascii="黑体" w:eastAsia="黑体" w:hAnsi="黑体" w:cs="黑体" w:hint="eastAsia"/>
                <w:b/>
                <w:bCs/>
                <w:snapToGrid w:val="0"/>
                <w:kern w:val="0"/>
                <w:sz w:val="24"/>
                <w:szCs w:val="24"/>
              </w:rPr>
              <w:t>5</w:t>
            </w:r>
            <w:r w:rsidRPr="00CF0586">
              <w:rPr>
                <w:rFonts w:ascii="黑体" w:eastAsia="黑体" w:hAnsi="黑体" w:cs="黑体" w:hint="eastAsia"/>
                <w:b/>
                <w:bCs/>
                <w:snapToGrid w:val="0"/>
                <w:kern w:val="0"/>
                <w:sz w:val="24"/>
                <w:szCs w:val="24"/>
              </w:rPr>
              <w:t>9</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
                <w:bCs/>
                <w:snapToGrid w:val="0"/>
                <w:kern w:val="0"/>
                <w:sz w:val="24"/>
                <w:szCs w:val="24"/>
              </w:rPr>
            </w:pPr>
            <w:r w:rsidRPr="00CF0586">
              <w:rPr>
                <w:rFonts w:ascii="黑体" w:eastAsia="黑体" w:hAnsi="黑体" w:cs="黑体" w:hint="eastAsia"/>
                <w:b/>
                <w:bCs/>
                <w:snapToGrid w:val="0"/>
                <w:kern w:val="0"/>
                <w:sz w:val="24"/>
                <w:szCs w:val="24"/>
              </w:rPr>
              <w:t>403</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
                <w:bCs/>
                <w:snapToGrid w:val="0"/>
                <w:kern w:val="0"/>
                <w:sz w:val="24"/>
                <w:szCs w:val="24"/>
              </w:rPr>
            </w:pPr>
            <w:r w:rsidRPr="00CF0586">
              <w:rPr>
                <w:rFonts w:ascii="黑体" w:eastAsia="黑体" w:hAnsi="黑体" w:cs="黑体" w:hint="eastAsia"/>
                <w:b/>
                <w:bCs/>
                <w:snapToGrid w:val="0"/>
                <w:kern w:val="0"/>
                <w:sz w:val="24"/>
                <w:szCs w:val="24"/>
              </w:rPr>
              <w:t xml:space="preserve">　</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
                <w:bCs/>
                <w:snapToGrid w:val="0"/>
                <w:kern w:val="0"/>
                <w:sz w:val="24"/>
                <w:szCs w:val="24"/>
              </w:rPr>
            </w:pPr>
            <w:r w:rsidRPr="00CF0586">
              <w:rPr>
                <w:rFonts w:ascii="黑体" w:eastAsia="黑体" w:hAnsi="黑体" w:cs="黑体" w:hint="eastAsia"/>
                <w:b/>
                <w:bCs/>
                <w:snapToGrid w:val="0"/>
                <w:kern w:val="0"/>
                <w:sz w:val="24"/>
                <w:szCs w:val="24"/>
              </w:rPr>
              <w:t xml:space="preserve">　</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黑体" w:eastAsia="黑体" w:hAnsi="黑体" w:cs="黑体"/>
                <w:b/>
                <w:bCs/>
                <w:snapToGrid w:val="0"/>
                <w:kern w:val="0"/>
                <w:sz w:val="24"/>
                <w:szCs w:val="24"/>
              </w:rPr>
            </w:pPr>
            <w:r w:rsidRPr="00CF0586">
              <w:rPr>
                <w:rFonts w:ascii="黑体" w:eastAsia="黑体" w:hAnsi="黑体" w:cs="黑体" w:hint="eastAsia"/>
                <w:b/>
                <w:bCs/>
                <w:snapToGrid w:val="0"/>
                <w:kern w:val="0"/>
                <w:sz w:val="24"/>
                <w:szCs w:val="24"/>
              </w:rPr>
              <w:t>19639.9</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
                <w:bCs/>
                <w:snapToGrid w:val="0"/>
                <w:kern w:val="0"/>
                <w:sz w:val="24"/>
                <w:szCs w:val="24"/>
              </w:rPr>
            </w:pPr>
            <w:r w:rsidRPr="00CF0586">
              <w:rPr>
                <w:rFonts w:ascii="黑体" w:eastAsia="黑体" w:hAnsi="黑体" w:cs="黑体" w:hint="eastAsia"/>
                <w:b/>
                <w:bCs/>
                <w:snapToGrid w:val="0"/>
                <w:kern w:val="0"/>
                <w:sz w:val="24"/>
                <w:szCs w:val="24"/>
              </w:rPr>
              <w:t xml:space="preserve">　</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
                <w:bCs/>
                <w:snapToGrid w:val="0"/>
                <w:kern w:val="0"/>
                <w:sz w:val="24"/>
                <w:szCs w:val="24"/>
              </w:rPr>
            </w:pPr>
            <w:r w:rsidRPr="00CF0586">
              <w:rPr>
                <w:rFonts w:ascii="黑体" w:eastAsia="黑体" w:hAnsi="黑体" w:cs="黑体" w:hint="eastAsia"/>
                <w:b/>
                <w:bCs/>
                <w:snapToGrid w:val="0"/>
                <w:kern w:val="0"/>
                <w:sz w:val="24"/>
                <w:szCs w:val="24"/>
              </w:rPr>
              <w:t xml:space="preserve">　</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proofErr w:type="gramStart"/>
            <w:r w:rsidRPr="00CF0586">
              <w:rPr>
                <w:rFonts w:ascii="黑体" w:eastAsia="黑体" w:hAnsi="黑体" w:cs="黑体" w:hint="eastAsia"/>
                <w:snapToGrid w:val="0"/>
                <w:kern w:val="0"/>
                <w:sz w:val="24"/>
                <w:szCs w:val="24"/>
              </w:rPr>
              <w:t>一</w:t>
            </w:r>
            <w:proofErr w:type="gramEnd"/>
          </w:p>
        </w:tc>
        <w:tc>
          <w:tcPr>
            <w:tcW w:w="4550" w:type="dxa"/>
            <w:gridSpan w:val="2"/>
            <w:tcBorders>
              <w:top w:val="single" w:sz="8" w:space="0" w:color="auto"/>
              <w:left w:val="nil"/>
              <w:bottom w:val="single" w:sz="8" w:space="0" w:color="auto"/>
              <w:right w:val="single" w:sz="8" w:space="0" w:color="000000"/>
            </w:tcBorders>
            <w:shd w:val="clear" w:color="auto" w:fill="auto"/>
            <w:vAlign w:val="center"/>
          </w:tcPr>
          <w:p w:rsidR="00EC696C" w:rsidRPr="00CF0586" w:rsidRDefault="00407F56">
            <w:pPr>
              <w:widowControl/>
              <w:spacing w:line="360" w:lineRule="exact"/>
              <w:ind w:firstLine="0"/>
              <w:jc w:val="left"/>
              <w:rPr>
                <w:rFonts w:ascii="黑体" w:eastAsia="黑体" w:hAnsi="黑体" w:cs="黑体"/>
                <w:bCs/>
                <w:snapToGrid w:val="0"/>
                <w:kern w:val="0"/>
                <w:sz w:val="24"/>
                <w:szCs w:val="24"/>
              </w:rPr>
            </w:pPr>
            <w:r w:rsidRPr="00CF0586">
              <w:rPr>
                <w:rFonts w:ascii="黑体" w:eastAsia="黑体" w:hAnsi="黑体" w:cs="黑体" w:hint="eastAsia"/>
                <w:bCs/>
                <w:snapToGrid w:val="0"/>
                <w:kern w:val="0"/>
                <w:sz w:val="24"/>
                <w:szCs w:val="24"/>
              </w:rPr>
              <w:t>续建一批（10个）</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204</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168</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 xml:space="preserve">　</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 xml:space="preserve">　</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9311</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Cs/>
                <w:snapToGrid w:val="0"/>
                <w:kern w:val="0"/>
                <w:sz w:val="24"/>
                <w:szCs w:val="24"/>
              </w:rPr>
            </w:pPr>
            <w:r w:rsidRPr="00CF0586">
              <w:rPr>
                <w:rFonts w:ascii="黑体" w:eastAsia="黑体" w:hAnsi="黑体" w:cs="黑体" w:hint="eastAsia"/>
                <w:bCs/>
                <w:snapToGrid w:val="0"/>
                <w:kern w:val="0"/>
                <w:sz w:val="24"/>
                <w:szCs w:val="24"/>
              </w:rPr>
              <w:t xml:space="preserve">　</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
                <w:bCs/>
                <w:snapToGrid w:val="0"/>
                <w:kern w:val="0"/>
                <w:sz w:val="24"/>
                <w:szCs w:val="24"/>
              </w:rPr>
            </w:pPr>
            <w:r w:rsidRPr="00CF0586">
              <w:rPr>
                <w:rFonts w:ascii="黑体" w:eastAsia="黑体" w:hAnsi="黑体" w:cs="黑体" w:hint="eastAsia"/>
                <w:b/>
                <w:bCs/>
                <w:snapToGrid w:val="0"/>
                <w:kern w:val="0"/>
                <w:sz w:val="24"/>
                <w:szCs w:val="24"/>
              </w:rPr>
              <w:t xml:space="preserve">　</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proofErr w:type="gramStart"/>
            <w:r w:rsidRPr="00CF0586">
              <w:rPr>
                <w:rFonts w:ascii="宋体" w:eastAsia="宋体" w:hAnsi="宋体" w:cs="宋体" w:hint="eastAsia"/>
                <w:snapToGrid w:val="0"/>
                <w:kern w:val="0"/>
                <w:sz w:val="24"/>
                <w:szCs w:val="24"/>
              </w:rPr>
              <w:t>湖嘉申线</w:t>
            </w:r>
            <w:proofErr w:type="gramEnd"/>
            <w:r w:rsidRPr="00CF0586">
              <w:rPr>
                <w:rFonts w:ascii="宋体" w:eastAsia="宋体" w:hAnsi="宋体" w:cs="宋体" w:hint="eastAsia"/>
                <w:snapToGrid w:val="0"/>
                <w:kern w:val="0"/>
                <w:sz w:val="24"/>
                <w:szCs w:val="24"/>
              </w:rPr>
              <w:t>航道嘉兴段二期工程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按三级航道标准改造航道15公里</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20.6</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7.9</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2019</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1313</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proofErr w:type="gramStart"/>
            <w:r w:rsidRPr="00CF0586">
              <w:rPr>
                <w:rFonts w:ascii="宋体" w:eastAsia="宋体" w:hAnsi="宋体" w:cs="宋体" w:hint="eastAsia"/>
                <w:snapToGrid w:val="0"/>
                <w:kern w:val="0"/>
                <w:sz w:val="24"/>
                <w:szCs w:val="24"/>
              </w:rPr>
              <w:t>秀洲区</w:t>
            </w:r>
            <w:proofErr w:type="gramEnd"/>
            <w:r w:rsidRPr="00CF0586">
              <w:rPr>
                <w:rFonts w:ascii="宋体" w:eastAsia="宋体" w:hAnsi="宋体" w:cs="宋体" w:hint="eastAsia"/>
                <w:snapToGrid w:val="0"/>
                <w:kern w:val="0"/>
                <w:sz w:val="24"/>
                <w:szCs w:val="24"/>
              </w:rPr>
              <w:t>政府</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浙北高等级航道网集装箱运输通道建设工程嘉兴段</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按三级航道标准改造乍浦塘9.5公里航道、21座桥梁</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64.6</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58</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2020</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2024</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794</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嘉兴港区管委会、平湖市、海盐县、桐乡市政府</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京杭运河浙江段三级航道整治工程杭州段新开挖航道段</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建设三级航道6.4公里</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29.7</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13.4</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2018</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1241</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海宁市、桐乡市政府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4</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独山港区B区13、14号多用途泊位工程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3万吨级多用途泊位2个</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8.03</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6.73</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2019</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250</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平湖市政府</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乍浦海河联运作业Ⅱ区工程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500吨级多用途泊位7个，石油化工7个</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3.98</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3.98</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2021</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630</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省海港集团嘉兴公司、嘉兴港区管委会</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lastRenderedPageBreak/>
              <w:t>6</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海盐海河联运作业Ⅲ区</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500吨级泊位6个</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3.2</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2024</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87</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海盐县政府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市交通运输局、市水利局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7</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嘉兴港区六里桥海河联运作业区</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布置8个500吨级泊位，设计年通过能力248万吨</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9.7</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9.7</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2021</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2024</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162</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嘉兴港区</w:t>
            </w:r>
          </w:p>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管委会</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8</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228国道平湖独山至林</w:t>
            </w:r>
            <w:proofErr w:type="gramStart"/>
            <w:r w:rsidRPr="00CF0586">
              <w:rPr>
                <w:rFonts w:ascii="宋体" w:eastAsia="宋体" w:hAnsi="宋体" w:cs="宋体" w:hint="eastAsia"/>
                <w:snapToGrid w:val="0"/>
                <w:kern w:val="0"/>
                <w:sz w:val="24"/>
                <w:szCs w:val="24"/>
              </w:rPr>
              <w:t>埭</w:t>
            </w:r>
            <w:proofErr w:type="gramEnd"/>
            <w:r w:rsidRPr="00CF0586">
              <w:rPr>
                <w:rFonts w:ascii="宋体" w:eastAsia="宋体" w:hAnsi="宋体" w:cs="宋体" w:hint="eastAsia"/>
                <w:snapToGrid w:val="0"/>
                <w:kern w:val="0"/>
                <w:sz w:val="24"/>
                <w:szCs w:val="24"/>
              </w:rPr>
              <w:t>段改扩建工程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一级公路“四改六”22.9公里</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36.14</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36.14</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2025</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1631</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平湖市政府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9</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G228嘉兴港区段拓宽改造工程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一级公路5公里</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5.5</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5.5</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2024</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488</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嘉兴港区</w:t>
            </w:r>
          </w:p>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管委会</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10</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疏港</w:t>
            </w:r>
            <w:proofErr w:type="gramStart"/>
            <w:r w:rsidRPr="00CF0586">
              <w:rPr>
                <w:rFonts w:ascii="宋体" w:eastAsia="宋体" w:hAnsi="宋体" w:cs="宋体" w:hint="eastAsia"/>
                <w:snapToGrid w:val="0"/>
                <w:kern w:val="0"/>
                <w:sz w:val="24"/>
                <w:szCs w:val="24"/>
              </w:rPr>
              <w:t>公路秀洲至</w:t>
            </w:r>
            <w:proofErr w:type="gramEnd"/>
            <w:r w:rsidRPr="00CF0586">
              <w:rPr>
                <w:rFonts w:ascii="宋体" w:eastAsia="宋体" w:hAnsi="宋体" w:cs="宋体" w:hint="eastAsia"/>
                <w:snapToGrid w:val="0"/>
                <w:kern w:val="0"/>
                <w:sz w:val="24"/>
                <w:szCs w:val="24"/>
              </w:rPr>
              <w:t>仙居公路海盐</w:t>
            </w:r>
            <w:proofErr w:type="gramStart"/>
            <w:r w:rsidRPr="00CF0586">
              <w:rPr>
                <w:rFonts w:ascii="宋体" w:eastAsia="宋体" w:hAnsi="宋体" w:cs="宋体" w:hint="eastAsia"/>
                <w:snapToGrid w:val="0"/>
                <w:kern w:val="0"/>
                <w:sz w:val="24"/>
                <w:szCs w:val="24"/>
              </w:rPr>
              <w:t>通元至澉</w:t>
            </w:r>
            <w:proofErr w:type="gramEnd"/>
            <w:r w:rsidRPr="00CF0586">
              <w:rPr>
                <w:rFonts w:ascii="宋体" w:eastAsia="宋体" w:hAnsi="宋体" w:cs="宋体" w:hint="eastAsia"/>
                <w:snapToGrid w:val="0"/>
                <w:kern w:val="0"/>
                <w:sz w:val="24"/>
                <w:szCs w:val="24"/>
              </w:rPr>
              <w:t>浦段新建工程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主线一级公路23公里，连接线二级公路1.6公里</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22.95</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22.95</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2021</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2025</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2715</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海盐县政府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Cs/>
                <w:snapToGrid w:val="0"/>
                <w:kern w:val="0"/>
                <w:sz w:val="24"/>
                <w:szCs w:val="24"/>
              </w:rPr>
            </w:pPr>
            <w:r w:rsidRPr="00CF0586">
              <w:rPr>
                <w:rFonts w:ascii="黑体" w:eastAsia="黑体" w:hAnsi="黑体" w:cs="黑体" w:hint="eastAsia"/>
                <w:bCs/>
                <w:snapToGrid w:val="0"/>
                <w:kern w:val="0"/>
                <w:sz w:val="24"/>
                <w:szCs w:val="24"/>
              </w:rPr>
              <w:t>二</w:t>
            </w:r>
          </w:p>
        </w:tc>
        <w:tc>
          <w:tcPr>
            <w:tcW w:w="4550" w:type="dxa"/>
            <w:gridSpan w:val="2"/>
            <w:tcBorders>
              <w:top w:val="single" w:sz="8" w:space="0" w:color="auto"/>
              <w:left w:val="nil"/>
              <w:bottom w:val="single" w:sz="8" w:space="0" w:color="auto"/>
              <w:right w:val="single" w:sz="8" w:space="0" w:color="000000"/>
            </w:tcBorders>
            <w:shd w:val="clear" w:color="auto" w:fill="auto"/>
            <w:vAlign w:val="center"/>
          </w:tcPr>
          <w:p w:rsidR="00EC696C" w:rsidRPr="00CF0586" w:rsidRDefault="00407F56">
            <w:pPr>
              <w:widowControl/>
              <w:spacing w:line="360" w:lineRule="exact"/>
              <w:ind w:firstLine="0"/>
              <w:jc w:val="left"/>
              <w:rPr>
                <w:rFonts w:ascii="黑体" w:eastAsia="黑体" w:hAnsi="黑体" w:cs="黑体"/>
                <w:bCs/>
                <w:snapToGrid w:val="0"/>
                <w:kern w:val="0"/>
                <w:sz w:val="24"/>
                <w:szCs w:val="24"/>
              </w:rPr>
            </w:pPr>
            <w:r w:rsidRPr="00CF0586">
              <w:rPr>
                <w:rFonts w:ascii="黑体" w:eastAsia="黑体" w:hAnsi="黑体" w:cs="黑体" w:hint="eastAsia"/>
                <w:bCs/>
                <w:snapToGrid w:val="0"/>
                <w:kern w:val="0"/>
                <w:sz w:val="24"/>
                <w:szCs w:val="24"/>
              </w:rPr>
              <w:t>开工一批（16个）</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421</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235</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 xml:space="preserve">　</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 xml:space="preserve">　</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10329</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Cs/>
                <w:snapToGrid w:val="0"/>
                <w:kern w:val="0"/>
                <w:sz w:val="24"/>
                <w:szCs w:val="24"/>
              </w:rPr>
            </w:pPr>
            <w:r w:rsidRPr="00CF0586">
              <w:rPr>
                <w:rFonts w:ascii="黑体" w:eastAsia="黑体" w:hAnsi="黑体" w:cs="黑体" w:hint="eastAsia"/>
                <w:bCs/>
                <w:snapToGrid w:val="0"/>
                <w:kern w:val="0"/>
                <w:sz w:val="24"/>
                <w:szCs w:val="24"/>
              </w:rPr>
              <w:t xml:space="preserve">　</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snapToGrid w:val="0"/>
                <w:kern w:val="0"/>
                <w:sz w:val="24"/>
                <w:szCs w:val="24"/>
              </w:rPr>
            </w:pPr>
            <w:r w:rsidRPr="00CF0586">
              <w:rPr>
                <w:rFonts w:ascii="黑体" w:eastAsia="黑体" w:hAnsi="黑体" w:cs="黑体" w:hint="eastAsia"/>
                <w:snapToGrid w:val="0"/>
                <w:kern w:val="0"/>
                <w:sz w:val="24"/>
                <w:szCs w:val="24"/>
              </w:rPr>
              <w:t xml:space="preserve">　</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proofErr w:type="gramStart"/>
            <w:r w:rsidRPr="00CF0586">
              <w:rPr>
                <w:rFonts w:ascii="宋体" w:eastAsia="宋体" w:hAnsi="宋体" w:cs="宋体" w:hint="eastAsia"/>
                <w:snapToGrid w:val="0"/>
                <w:kern w:val="0"/>
                <w:sz w:val="24"/>
                <w:szCs w:val="24"/>
              </w:rPr>
              <w:t>杭申线</w:t>
            </w:r>
            <w:proofErr w:type="gramEnd"/>
            <w:r w:rsidRPr="00CF0586">
              <w:rPr>
                <w:rFonts w:ascii="宋体" w:eastAsia="宋体" w:hAnsi="宋体" w:cs="宋体" w:hint="eastAsia"/>
                <w:snapToGrid w:val="0"/>
                <w:kern w:val="0"/>
                <w:sz w:val="24"/>
                <w:szCs w:val="24"/>
              </w:rPr>
              <w:t>（嘉兴段）三级航道改造工程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按三级航道标准建设航道约92公里</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78.9</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78.9</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2025</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1427</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嘉善县、南湖区、</w:t>
            </w:r>
            <w:proofErr w:type="gramStart"/>
            <w:r w:rsidRPr="00CF0586">
              <w:rPr>
                <w:rFonts w:ascii="宋体" w:eastAsia="宋体" w:hAnsi="宋体" w:cs="宋体" w:hint="eastAsia"/>
                <w:snapToGrid w:val="0"/>
                <w:kern w:val="0"/>
                <w:sz w:val="24"/>
                <w:szCs w:val="24"/>
              </w:rPr>
              <w:t>秀洲区</w:t>
            </w:r>
            <w:proofErr w:type="gramEnd"/>
            <w:r w:rsidRPr="00CF0586">
              <w:rPr>
                <w:rFonts w:ascii="宋体" w:eastAsia="宋体" w:hAnsi="宋体" w:cs="宋体" w:hint="eastAsia"/>
                <w:snapToGrid w:val="0"/>
                <w:kern w:val="0"/>
                <w:sz w:val="24"/>
                <w:szCs w:val="24"/>
              </w:rPr>
              <w:t>、桐乡市政府、经开区管委会</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proofErr w:type="gramStart"/>
            <w:r w:rsidRPr="00CF0586">
              <w:rPr>
                <w:rFonts w:ascii="宋体" w:eastAsia="宋体" w:hAnsi="宋体" w:cs="宋体" w:hint="eastAsia"/>
                <w:snapToGrid w:val="0"/>
                <w:kern w:val="0"/>
                <w:sz w:val="24"/>
                <w:szCs w:val="24"/>
              </w:rPr>
              <w:t>乍嘉苏</w:t>
            </w:r>
            <w:proofErr w:type="gramEnd"/>
            <w:r w:rsidRPr="00CF0586">
              <w:rPr>
                <w:rFonts w:ascii="宋体" w:eastAsia="宋体" w:hAnsi="宋体" w:cs="宋体" w:hint="eastAsia"/>
                <w:snapToGrid w:val="0"/>
                <w:kern w:val="0"/>
                <w:sz w:val="24"/>
                <w:szCs w:val="24"/>
              </w:rPr>
              <w:t>线（浙江段）航道整治工程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按三级航道标准建设航道约47公里</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66</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10</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2024</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2027</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884</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平湖市、南湖区、</w:t>
            </w:r>
            <w:proofErr w:type="gramStart"/>
            <w:r w:rsidRPr="00CF0586">
              <w:rPr>
                <w:rFonts w:ascii="宋体" w:eastAsia="宋体" w:hAnsi="宋体" w:cs="宋体" w:hint="eastAsia"/>
                <w:snapToGrid w:val="0"/>
                <w:kern w:val="0"/>
                <w:sz w:val="24"/>
                <w:szCs w:val="24"/>
              </w:rPr>
              <w:t>秀洲区</w:t>
            </w:r>
            <w:proofErr w:type="gramEnd"/>
            <w:r w:rsidRPr="00CF0586">
              <w:rPr>
                <w:rFonts w:ascii="宋体" w:eastAsia="宋体" w:hAnsi="宋体" w:cs="宋体" w:hint="eastAsia"/>
                <w:snapToGrid w:val="0"/>
                <w:kern w:val="0"/>
                <w:sz w:val="24"/>
                <w:szCs w:val="24"/>
              </w:rPr>
              <w:t>政府、经开区管委会</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lastRenderedPageBreak/>
              <w:t>3</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proofErr w:type="gramStart"/>
            <w:r w:rsidRPr="00CF0586">
              <w:rPr>
                <w:rFonts w:ascii="宋体" w:eastAsia="宋体" w:hAnsi="宋体" w:cs="宋体" w:hint="eastAsia"/>
                <w:snapToGrid w:val="0"/>
                <w:kern w:val="0"/>
                <w:sz w:val="24"/>
                <w:szCs w:val="24"/>
              </w:rPr>
              <w:t>东宗线</w:t>
            </w:r>
            <w:proofErr w:type="gramEnd"/>
            <w:r w:rsidRPr="00CF0586">
              <w:rPr>
                <w:rFonts w:ascii="宋体" w:eastAsia="宋体" w:hAnsi="宋体" w:cs="宋体" w:hint="eastAsia"/>
                <w:snapToGrid w:val="0"/>
                <w:kern w:val="0"/>
                <w:sz w:val="24"/>
                <w:szCs w:val="24"/>
              </w:rPr>
              <w:t>三级航道整治工程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按三级航道标准建设19公里</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15</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2023</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105</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桐乡市政府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4</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嘉兴外海进港航道（鱼腥脑航道</w:t>
            </w:r>
            <w:proofErr w:type="gramStart"/>
            <w:r w:rsidRPr="00CF0586">
              <w:rPr>
                <w:rFonts w:ascii="宋体" w:eastAsia="宋体" w:hAnsi="宋体" w:cs="宋体" w:hint="eastAsia"/>
                <w:snapToGrid w:val="0"/>
                <w:kern w:val="0"/>
                <w:sz w:val="24"/>
                <w:szCs w:val="24"/>
              </w:rPr>
              <w:t>道</w:t>
            </w:r>
            <w:proofErr w:type="gramEnd"/>
            <w:r w:rsidRPr="00CF0586">
              <w:rPr>
                <w:rFonts w:ascii="宋体" w:eastAsia="宋体" w:hAnsi="宋体" w:cs="宋体" w:hint="eastAsia"/>
                <w:snapToGrid w:val="0"/>
                <w:kern w:val="0"/>
                <w:sz w:val="24"/>
                <w:szCs w:val="24"/>
              </w:rPr>
              <w:t>）</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新建航道30公里</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16</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16</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2024</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嘉兴海事局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独山海河联运作业Ⅱ区工程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500吨级泊位21个</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10</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10</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2024</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370</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省海港集团嘉兴公司、平湖市政府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市交通运输局、市水利局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6</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独山港区B区25、26号多用途泊位工程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5万吨级多用途泊位1个（满足1艘3万、1艘2万吨级集装箱船同时靠泊）</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19.31</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19.31</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2024</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280</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省海港集团</w:t>
            </w:r>
          </w:p>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嘉兴公司</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7</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独山港区A区5、6号液体散货泊位工程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5万吨级液体化工泊位、液化</w:t>
            </w:r>
            <w:proofErr w:type="gramStart"/>
            <w:r w:rsidRPr="00CF0586">
              <w:rPr>
                <w:rFonts w:ascii="宋体" w:eastAsia="宋体" w:hAnsi="宋体" w:cs="宋体" w:hint="eastAsia"/>
                <w:snapToGrid w:val="0"/>
                <w:kern w:val="0"/>
                <w:sz w:val="24"/>
                <w:szCs w:val="24"/>
              </w:rPr>
              <w:t>烃</w:t>
            </w:r>
            <w:proofErr w:type="gramEnd"/>
            <w:r w:rsidRPr="00CF0586">
              <w:rPr>
                <w:rFonts w:ascii="宋体" w:eastAsia="宋体" w:hAnsi="宋体" w:cs="宋体" w:hint="eastAsia"/>
                <w:snapToGrid w:val="0"/>
                <w:kern w:val="0"/>
                <w:sz w:val="24"/>
                <w:szCs w:val="24"/>
              </w:rPr>
              <w:t>泊位2个</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13</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13</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2024</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169</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省海港嘉兴</w:t>
            </w:r>
          </w:p>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公司、平湖市政府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8</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独山港区B区21、22号多用途泊位工程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5万吨级多用途泊位1个（满足2艘3万吨级集装箱船靠泊）</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23.85</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15</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2023</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450</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省海港集团</w:t>
            </w:r>
          </w:p>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嘉兴公司</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平湖市政府、市交通运输局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lastRenderedPageBreak/>
              <w:t>9</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海盐港区传化</w:t>
            </w:r>
            <w:proofErr w:type="gramStart"/>
            <w:r w:rsidRPr="00CF0586">
              <w:rPr>
                <w:rFonts w:ascii="宋体" w:eastAsia="宋体" w:hAnsi="宋体" w:cs="宋体" w:hint="eastAsia"/>
                <w:snapToGrid w:val="0"/>
                <w:kern w:val="0"/>
                <w:sz w:val="24"/>
                <w:szCs w:val="24"/>
              </w:rPr>
              <w:t>智慧港</w:t>
            </w:r>
            <w:proofErr w:type="gramEnd"/>
            <w:r w:rsidRPr="00CF0586">
              <w:rPr>
                <w:rFonts w:ascii="宋体" w:eastAsia="宋体" w:hAnsi="宋体" w:cs="宋体" w:hint="eastAsia"/>
                <w:snapToGrid w:val="0"/>
                <w:kern w:val="0"/>
                <w:sz w:val="24"/>
                <w:szCs w:val="24"/>
              </w:rPr>
              <w:t>项目</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河港项目包含500吨级泊位16个，海港项目包含3万吨级多用途泊位2个、3.5万吨级散货泊位2个</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31.8</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1045</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海盐县政府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市交通运输局、市自然资源和规划局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10</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spacing w:val="-6"/>
                <w:kern w:val="0"/>
                <w:sz w:val="24"/>
                <w:szCs w:val="24"/>
              </w:rPr>
            </w:pPr>
            <w:r w:rsidRPr="00CF0586">
              <w:rPr>
                <w:rFonts w:ascii="宋体" w:eastAsia="宋体" w:hAnsi="宋体" w:cs="宋体" w:hint="eastAsia"/>
                <w:snapToGrid w:val="0"/>
                <w:spacing w:val="-6"/>
                <w:kern w:val="0"/>
                <w:sz w:val="24"/>
                <w:szCs w:val="24"/>
              </w:rPr>
              <w:t>海盐县海河联运联网航道提升改造工程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按准Ⅲ-b级单线航道标准改造航道25公里</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16.2</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6.2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2024</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2030</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705</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海盐县政府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11</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spacing w:val="-6"/>
                <w:kern w:val="0"/>
                <w:sz w:val="24"/>
                <w:szCs w:val="24"/>
              </w:rPr>
            </w:pPr>
            <w:r w:rsidRPr="00CF0586">
              <w:rPr>
                <w:rFonts w:ascii="宋体" w:eastAsia="宋体" w:hAnsi="宋体" w:cs="宋体" w:hint="eastAsia"/>
                <w:snapToGrid w:val="0"/>
                <w:spacing w:val="-6"/>
                <w:kern w:val="0"/>
                <w:sz w:val="24"/>
                <w:szCs w:val="24"/>
              </w:rPr>
              <w:t>嘉兴海河联运示范区海盐内河枢纽工程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建设“四区三码头”、三服务区、</w:t>
            </w:r>
            <w:proofErr w:type="gramStart"/>
            <w:r w:rsidRPr="00CF0586">
              <w:rPr>
                <w:rFonts w:ascii="宋体" w:eastAsia="宋体" w:hAnsi="宋体" w:cs="宋体" w:hint="eastAsia"/>
                <w:snapToGrid w:val="0"/>
                <w:kern w:val="0"/>
                <w:sz w:val="24"/>
                <w:szCs w:val="24"/>
              </w:rPr>
              <w:t>一</w:t>
            </w:r>
            <w:proofErr w:type="gramEnd"/>
            <w:r w:rsidRPr="00CF0586">
              <w:rPr>
                <w:rFonts w:ascii="宋体" w:eastAsia="宋体" w:hAnsi="宋体" w:cs="宋体" w:hint="eastAsia"/>
                <w:snapToGrid w:val="0"/>
                <w:kern w:val="0"/>
                <w:sz w:val="24"/>
                <w:szCs w:val="24"/>
              </w:rPr>
              <w:t>疏港道路。</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29.79</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7.86</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2023</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2028</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1146.9</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海盐县政府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EC696C">
            <w:pPr>
              <w:widowControl/>
              <w:spacing w:line="360" w:lineRule="exact"/>
              <w:ind w:firstLine="0"/>
              <w:jc w:val="center"/>
              <w:rPr>
                <w:rFonts w:ascii="宋体" w:eastAsia="宋体" w:hAnsi="宋体" w:cs="宋体"/>
                <w:snapToGrid w:val="0"/>
                <w:kern w:val="0"/>
                <w:sz w:val="24"/>
                <w:szCs w:val="24"/>
              </w:rPr>
            </w:pP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12</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独山港经济</w:t>
            </w:r>
            <w:proofErr w:type="gramStart"/>
            <w:r w:rsidRPr="00CF0586">
              <w:rPr>
                <w:rFonts w:ascii="宋体" w:eastAsia="宋体" w:hAnsi="宋体" w:cs="宋体" w:hint="eastAsia"/>
                <w:snapToGrid w:val="0"/>
                <w:kern w:val="0"/>
                <w:sz w:val="24"/>
                <w:szCs w:val="24"/>
              </w:rPr>
              <w:t>开发区滨港路</w:t>
            </w:r>
            <w:proofErr w:type="gramEnd"/>
            <w:r w:rsidRPr="00CF0586">
              <w:rPr>
                <w:rFonts w:ascii="宋体" w:eastAsia="宋体" w:hAnsi="宋体" w:cs="宋体" w:hint="eastAsia"/>
                <w:snapToGrid w:val="0"/>
                <w:kern w:val="0"/>
                <w:sz w:val="24"/>
                <w:szCs w:val="24"/>
              </w:rPr>
              <w:t>、</w:t>
            </w:r>
            <w:proofErr w:type="gramStart"/>
            <w:r w:rsidRPr="00CF0586">
              <w:rPr>
                <w:rFonts w:ascii="宋体" w:eastAsia="宋体" w:hAnsi="宋体" w:cs="宋体" w:hint="eastAsia"/>
                <w:snapToGrid w:val="0"/>
                <w:kern w:val="0"/>
                <w:sz w:val="24"/>
                <w:szCs w:val="24"/>
              </w:rPr>
              <w:t>上港路</w:t>
            </w:r>
            <w:proofErr w:type="gramEnd"/>
            <w:r w:rsidRPr="00CF0586">
              <w:rPr>
                <w:rFonts w:ascii="宋体" w:eastAsia="宋体" w:hAnsi="宋体" w:cs="宋体" w:hint="eastAsia"/>
                <w:snapToGrid w:val="0"/>
                <w:kern w:val="0"/>
                <w:sz w:val="24"/>
                <w:szCs w:val="24"/>
              </w:rPr>
              <w:t>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一级公路9公里</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15</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15</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2023</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2025</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422</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平湖市政府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13</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嘉兴城郊港区高新作业区</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新建12个500吨级泊位</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5.9</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5.9</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2023</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290</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proofErr w:type="gramStart"/>
            <w:r w:rsidRPr="00CF0586">
              <w:rPr>
                <w:rFonts w:ascii="宋体" w:eastAsia="宋体" w:hAnsi="宋体" w:cs="宋体" w:hint="eastAsia"/>
                <w:snapToGrid w:val="0"/>
                <w:kern w:val="0"/>
                <w:sz w:val="24"/>
                <w:szCs w:val="24"/>
              </w:rPr>
              <w:t>秀洲区</w:t>
            </w:r>
            <w:proofErr w:type="gramEnd"/>
            <w:r w:rsidRPr="00CF0586">
              <w:rPr>
                <w:rFonts w:ascii="宋体" w:eastAsia="宋体" w:hAnsi="宋体" w:cs="宋体" w:hint="eastAsia"/>
                <w:snapToGrid w:val="0"/>
                <w:kern w:val="0"/>
                <w:sz w:val="24"/>
                <w:szCs w:val="24"/>
              </w:rPr>
              <w:t>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14</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嘉兴</w:t>
            </w:r>
            <w:proofErr w:type="gramStart"/>
            <w:r w:rsidRPr="00CF0586">
              <w:rPr>
                <w:rFonts w:ascii="宋体" w:eastAsia="宋体" w:hAnsi="宋体" w:cs="宋体" w:hint="eastAsia"/>
                <w:snapToGrid w:val="0"/>
                <w:kern w:val="0"/>
                <w:sz w:val="24"/>
                <w:szCs w:val="24"/>
              </w:rPr>
              <w:t>市秀洲区</w:t>
            </w:r>
            <w:proofErr w:type="gramEnd"/>
            <w:r w:rsidRPr="00CF0586">
              <w:rPr>
                <w:rFonts w:ascii="宋体" w:eastAsia="宋体" w:hAnsi="宋体" w:cs="宋体" w:hint="eastAsia"/>
                <w:snapToGrid w:val="0"/>
                <w:kern w:val="0"/>
                <w:sz w:val="24"/>
                <w:szCs w:val="24"/>
              </w:rPr>
              <w:t>桃园作业区</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建设8个500吨级泊位</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12</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6</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2023</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372</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proofErr w:type="gramStart"/>
            <w:r w:rsidRPr="00CF0586">
              <w:rPr>
                <w:rFonts w:ascii="宋体" w:eastAsia="宋体" w:hAnsi="宋体" w:cs="宋体" w:hint="eastAsia"/>
                <w:snapToGrid w:val="0"/>
                <w:kern w:val="0"/>
                <w:sz w:val="24"/>
                <w:szCs w:val="24"/>
              </w:rPr>
              <w:t>秀洲区</w:t>
            </w:r>
            <w:proofErr w:type="gramEnd"/>
            <w:r w:rsidRPr="00CF0586">
              <w:rPr>
                <w:rFonts w:ascii="宋体" w:eastAsia="宋体" w:hAnsi="宋体" w:cs="宋体" w:hint="eastAsia"/>
                <w:snapToGrid w:val="0"/>
                <w:kern w:val="0"/>
                <w:sz w:val="24"/>
                <w:szCs w:val="24"/>
              </w:rPr>
              <w:t>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firstLine="0"/>
              <w:jc w:val="center"/>
              <w:textAlignment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15</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spacing w:val="-6"/>
                <w:kern w:val="0"/>
                <w:sz w:val="24"/>
                <w:szCs w:val="24"/>
              </w:rPr>
            </w:pPr>
            <w:r w:rsidRPr="00CF0586">
              <w:rPr>
                <w:rFonts w:ascii="宋体" w:eastAsia="宋体" w:hAnsi="宋体" w:cs="宋体" w:hint="eastAsia"/>
                <w:snapToGrid w:val="0"/>
                <w:spacing w:val="-6"/>
                <w:kern w:val="0"/>
                <w:sz w:val="24"/>
                <w:szCs w:val="24"/>
              </w:rPr>
              <w:t>桐乡经开作业区工程</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1000吨级泊位6个</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6</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2023</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191</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桐乡市政府</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8" w:space="0" w:color="auto"/>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lastRenderedPageBreak/>
              <w:t>16</w:t>
            </w:r>
          </w:p>
        </w:tc>
        <w:tc>
          <w:tcPr>
            <w:tcW w:w="236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嘉兴市多式联运物流枢纽项目</w:t>
            </w:r>
          </w:p>
        </w:tc>
        <w:tc>
          <w:tcPr>
            <w:tcW w:w="218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着力打造“空铁公水”多式联运物流平台和现代化综合货运枢纽。</w:t>
            </w:r>
          </w:p>
        </w:tc>
        <w:tc>
          <w:tcPr>
            <w:tcW w:w="116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61.8</w:t>
            </w:r>
          </w:p>
        </w:tc>
        <w:tc>
          <w:tcPr>
            <w:tcW w:w="1295"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2023</w:t>
            </w:r>
          </w:p>
        </w:tc>
        <w:tc>
          <w:tcPr>
            <w:tcW w:w="101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2028</w:t>
            </w:r>
          </w:p>
        </w:tc>
        <w:tc>
          <w:tcPr>
            <w:tcW w:w="1056"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2472</w:t>
            </w:r>
          </w:p>
        </w:tc>
        <w:tc>
          <w:tcPr>
            <w:tcW w:w="1701"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市发展改革委</w:t>
            </w:r>
          </w:p>
        </w:tc>
        <w:tc>
          <w:tcPr>
            <w:tcW w:w="2074" w:type="dxa"/>
            <w:tcBorders>
              <w:top w:val="nil"/>
              <w:left w:val="nil"/>
              <w:bottom w:val="single" w:sz="8" w:space="0" w:color="auto"/>
              <w:right w:val="single" w:sz="8"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proofErr w:type="gramStart"/>
            <w:r w:rsidRPr="00CF0586">
              <w:rPr>
                <w:rFonts w:ascii="宋体" w:eastAsia="宋体" w:hAnsi="宋体" w:cs="宋体" w:hint="eastAsia"/>
                <w:snapToGrid w:val="0"/>
                <w:kern w:val="0"/>
                <w:sz w:val="24"/>
                <w:szCs w:val="24"/>
              </w:rPr>
              <w:t>秀洲区</w:t>
            </w:r>
            <w:proofErr w:type="gramEnd"/>
            <w:r w:rsidRPr="00CF0586">
              <w:rPr>
                <w:rFonts w:ascii="宋体" w:eastAsia="宋体" w:hAnsi="宋体" w:cs="宋体" w:hint="eastAsia"/>
                <w:snapToGrid w:val="0"/>
                <w:kern w:val="0"/>
                <w:sz w:val="24"/>
                <w:szCs w:val="24"/>
              </w:rPr>
              <w:t>政府</w:t>
            </w:r>
          </w:p>
        </w:tc>
      </w:tr>
      <w:tr w:rsidR="00EC696C" w:rsidRPr="00CF0586">
        <w:trPr>
          <w:trHeight w:val="454"/>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Cs/>
                <w:snapToGrid w:val="0"/>
                <w:kern w:val="0"/>
                <w:sz w:val="24"/>
                <w:szCs w:val="24"/>
              </w:rPr>
            </w:pPr>
            <w:r w:rsidRPr="00CF0586">
              <w:rPr>
                <w:rFonts w:ascii="黑体" w:eastAsia="黑体" w:hAnsi="黑体" w:cs="黑体" w:hint="eastAsia"/>
                <w:bCs/>
                <w:snapToGrid w:val="0"/>
                <w:kern w:val="0"/>
                <w:sz w:val="24"/>
                <w:szCs w:val="24"/>
              </w:rPr>
              <w:t>三</w:t>
            </w:r>
          </w:p>
        </w:tc>
        <w:tc>
          <w:tcPr>
            <w:tcW w:w="4550" w:type="dxa"/>
            <w:gridSpan w:val="2"/>
            <w:tcBorders>
              <w:top w:val="single" w:sz="4" w:space="0" w:color="auto"/>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left"/>
              <w:rPr>
                <w:rFonts w:ascii="黑体" w:eastAsia="黑体" w:hAnsi="黑体" w:cs="黑体"/>
                <w:bCs/>
                <w:snapToGrid w:val="0"/>
                <w:kern w:val="0"/>
                <w:sz w:val="24"/>
                <w:szCs w:val="24"/>
              </w:rPr>
            </w:pPr>
            <w:r w:rsidRPr="00CF0586">
              <w:rPr>
                <w:rFonts w:ascii="黑体" w:eastAsia="黑体" w:hAnsi="黑体" w:cs="黑体" w:hint="eastAsia"/>
                <w:bCs/>
                <w:snapToGrid w:val="0"/>
                <w:kern w:val="0"/>
                <w:sz w:val="24"/>
                <w:szCs w:val="24"/>
              </w:rPr>
              <w:t>谋划一批（14个）</w:t>
            </w:r>
          </w:p>
        </w:tc>
        <w:tc>
          <w:tcPr>
            <w:tcW w:w="1166" w:type="dxa"/>
            <w:tcBorders>
              <w:top w:val="single" w:sz="4" w:space="0" w:color="auto"/>
              <w:left w:val="nil"/>
              <w:bottom w:val="single" w:sz="4" w:space="0" w:color="auto"/>
              <w:right w:val="single" w:sz="4" w:space="0" w:color="auto"/>
            </w:tcBorders>
            <w:shd w:val="clear" w:color="auto" w:fill="auto"/>
            <w:vAlign w:val="center"/>
          </w:tcPr>
          <w:p w:rsidR="00EC696C" w:rsidRPr="00CF0586" w:rsidRDefault="001D2DC5" w:rsidP="00184BB2">
            <w:pPr>
              <w:widowControl/>
              <w:spacing w:line="360" w:lineRule="exact"/>
              <w:ind w:firstLine="0"/>
              <w:jc w:val="center"/>
              <w:rPr>
                <w:rFonts w:ascii="黑体" w:eastAsia="黑体" w:hAnsi="黑体" w:cs="黑体"/>
                <w:bCs/>
                <w:snapToGrid w:val="0"/>
                <w:kern w:val="0"/>
                <w:sz w:val="24"/>
                <w:szCs w:val="24"/>
              </w:rPr>
            </w:pPr>
            <w:r w:rsidRPr="00CF0586">
              <w:rPr>
                <w:rFonts w:ascii="黑体" w:eastAsia="黑体" w:hAnsi="黑体" w:cs="黑体" w:hint="eastAsia"/>
                <w:bCs/>
                <w:snapToGrid w:val="0"/>
                <w:kern w:val="0"/>
                <w:sz w:val="24"/>
                <w:szCs w:val="24"/>
              </w:rPr>
              <w:t>3</w:t>
            </w:r>
            <w:r w:rsidR="00184BB2" w:rsidRPr="00CF0586">
              <w:rPr>
                <w:rFonts w:ascii="黑体" w:eastAsia="黑体" w:hAnsi="黑体" w:cs="黑体" w:hint="eastAsia"/>
                <w:bCs/>
                <w:snapToGrid w:val="0"/>
                <w:kern w:val="0"/>
                <w:sz w:val="24"/>
                <w:szCs w:val="24"/>
              </w:rPr>
              <w:t>3</w:t>
            </w:r>
            <w:r w:rsidR="00407F56" w:rsidRPr="00CF0586">
              <w:rPr>
                <w:rFonts w:ascii="黑体" w:eastAsia="黑体" w:hAnsi="黑体" w:cs="黑体" w:hint="eastAsia"/>
                <w:bCs/>
                <w:snapToGrid w:val="0"/>
                <w:kern w:val="0"/>
                <w:sz w:val="24"/>
                <w:szCs w:val="24"/>
              </w:rPr>
              <w:t>4</w:t>
            </w:r>
          </w:p>
        </w:tc>
        <w:tc>
          <w:tcPr>
            <w:tcW w:w="1295" w:type="dxa"/>
            <w:tcBorders>
              <w:top w:val="single" w:sz="4" w:space="0" w:color="auto"/>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黑体" w:eastAsia="黑体" w:hAnsi="黑体" w:cs="黑体"/>
                <w:b/>
                <w:bCs/>
                <w:snapToGrid w:val="0"/>
                <w:kern w:val="0"/>
                <w:sz w:val="24"/>
                <w:szCs w:val="24"/>
              </w:rPr>
            </w:pPr>
            <w:r w:rsidRPr="00CF0586">
              <w:rPr>
                <w:rFonts w:ascii="黑体" w:eastAsia="黑体" w:hAnsi="黑体" w:cs="黑体" w:hint="eastAsia"/>
                <w:b/>
                <w:bCs/>
                <w:snapToGrid w:val="0"/>
                <w:kern w:val="0"/>
                <w:sz w:val="24"/>
                <w:szCs w:val="24"/>
              </w:rPr>
              <w:t xml:space="preserve">　</w:t>
            </w:r>
          </w:p>
        </w:tc>
        <w:tc>
          <w:tcPr>
            <w:tcW w:w="1011" w:type="dxa"/>
            <w:tcBorders>
              <w:top w:val="single" w:sz="4" w:space="0" w:color="auto"/>
              <w:left w:val="nil"/>
              <w:bottom w:val="single" w:sz="4" w:space="0" w:color="auto"/>
              <w:right w:val="single" w:sz="4" w:space="0" w:color="auto"/>
            </w:tcBorders>
            <w:shd w:val="clear" w:color="auto" w:fill="auto"/>
            <w:vAlign w:val="center"/>
          </w:tcPr>
          <w:p w:rsidR="00EC696C" w:rsidRPr="00CF0586" w:rsidRDefault="00EC696C">
            <w:pPr>
              <w:widowControl/>
              <w:spacing w:line="360" w:lineRule="exact"/>
              <w:ind w:firstLine="0"/>
              <w:jc w:val="center"/>
              <w:rPr>
                <w:rFonts w:ascii="黑体" w:eastAsia="黑体" w:hAnsi="黑体" w:cs="黑体"/>
                <w:snapToGrid w:val="0"/>
                <w:kern w:val="0"/>
                <w:sz w:val="24"/>
                <w:szCs w:val="24"/>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EC696C" w:rsidRPr="00CF0586" w:rsidRDefault="00EC696C">
            <w:pPr>
              <w:widowControl/>
              <w:spacing w:line="360" w:lineRule="exact"/>
              <w:ind w:firstLine="0"/>
              <w:jc w:val="center"/>
              <w:rPr>
                <w:rFonts w:ascii="黑体" w:eastAsia="黑体" w:hAnsi="黑体" w:cs="黑体"/>
                <w:snapToGrid w:val="0"/>
                <w:kern w:val="0"/>
                <w:sz w:val="24"/>
                <w:szCs w:val="24"/>
              </w:rPr>
            </w:pPr>
          </w:p>
        </w:tc>
        <w:tc>
          <w:tcPr>
            <w:tcW w:w="1056" w:type="dxa"/>
            <w:tcBorders>
              <w:top w:val="single" w:sz="4" w:space="0" w:color="auto"/>
              <w:left w:val="nil"/>
              <w:bottom w:val="single" w:sz="4" w:space="0" w:color="auto"/>
              <w:right w:val="single" w:sz="4" w:space="0" w:color="auto"/>
            </w:tcBorders>
            <w:shd w:val="clear" w:color="auto" w:fill="auto"/>
            <w:vAlign w:val="center"/>
          </w:tcPr>
          <w:p w:rsidR="00EC696C" w:rsidRPr="00CF0586" w:rsidRDefault="00EC696C">
            <w:pPr>
              <w:widowControl/>
              <w:adjustRightInd w:val="0"/>
              <w:snapToGrid w:val="0"/>
              <w:spacing w:line="360" w:lineRule="exact"/>
              <w:ind w:leftChars="-20" w:left="-64" w:rightChars="-20" w:right="-64" w:firstLine="0"/>
              <w:jc w:val="center"/>
              <w:rPr>
                <w:rFonts w:ascii="黑体" w:eastAsia="黑体" w:hAnsi="黑体" w:cs="黑体"/>
                <w:b/>
                <w:bCs/>
                <w:snapToGrid w:val="0"/>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C696C" w:rsidRPr="00CF0586" w:rsidRDefault="00EC696C">
            <w:pPr>
              <w:widowControl/>
              <w:spacing w:line="360" w:lineRule="exact"/>
              <w:ind w:firstLine="0"/>
              <w:jc w:val="center"/>
              <w:rPr>
                <w:rFonts w:ascii="黑体" w:eastAsia="黑体" w:hAnsi="黑体" w:cs="黑体"/>
                <w:b/>
                <w:bCs/>
                <w:snapToGrid w:val="0"/>
                <w:kern w:val="0"/>
                <w:sz w:val="24"/>
                <w:szCs w:val="24"/>
              </w:rPr>
            </w:pPr>
          </w:p>
        </w:tc>
        <w:tc>
          <w:tcPr>
            <w:tcW w:w="2074" w:type="dxa"/>
            <w:tcBorders>
              <w:top w:val="single" w:sz="4" w:space="0" w:color="auto"/>
              <w:left w:val="nil"/>
              <w:bottom w:val="single" w:sz="4" w:space="0" w:color="auto"/>
              <w:right w:val="single" w:sz="4" w:space="0" w:color="auto"/>
            </w:tcBorders>
            <w:shd w:val="clear" w:color="auto" w:fill="auto"/>
            <w:vAlign w:val="center"/>
          </w:tcPr>
          <w:p w:rsidR="00EC696C" w:rsidRPr="00CF0586" w:rsidRDefault="00EC696C">
            <w:pPr>
              <w:widowControl/>
              <w:spacing w:line="360" w:lineRule="exact"/>
              <w:ind w:firstLine="0"/>
              <w:jc w:val="center"/>
              <w:rPr>
                <w:rFonts w:ascii="黑体" w:eastAsia="黑体" w:hAnsi="黑体" w:cs="黑体"/>
                <w:b/>
                <w:bCs/>
                <w:snapToGrid w:val="0"/>
                <w:kern w:val="0"/>
                <w:sz w:val="24"/>
                <w:szCs w:val="24"/>
              </w:rPr>
            </w:pPr>
          </w:p>
        </w:tc>
      </w:tr>
      <w:tr w:rsidR="00EC696C" w:rsidRPr="00CF0586">
        <w:trPr>
          <w:trHeight w:val="454"/>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w:t>
            </w:r>
          </w:p>
        </w:tc>
        <w:tc>
          <w:tcPr>
            <w:tcW w:w="236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spacing w:val="-6"/>
                <w:kern w:val="0"/>
                <w:sz w:val="24"/>
                <w:szCs w:val="24"/>
              </w:rPr>
              <w:t>京杭运河二通道北延</w:t>
            </w:r>
          </w:p>
        </w:tc>
        <w:tc>
          <w:tcPr>
            <w:tcW w:w="218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按三级航道标准建设航道14公里</w:t>
            </w:r>
          </w:p>
        </w:tc>
        <w:tc>
          <w:tcPr>
            <w:tcW w:w="1166"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30</w:t>
            </w:r>
          </w:p>
        </w:tc>
        <w:tc>
          <w:tcPr>
            <w:tcW w:w="129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1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2028</w:t>
            </w:r>
          </w:p>
        </w:tc>
        <w:tc>
          <w:tcPr>
            <w:tcW w:w="1056"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桐乡市政府</w:t>
            </w:r>
          </w:p>
        </w:tc>
        <w:tc>
          <w:tcPr>
            <w:tcW w:w="2074"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w:t>
            </w:r>
          </w:p>
        </w:tc>
        <w:tc>
          <w:tcPr>
            <w:tcW w:w="236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黄姑塘航道东延段航道工程</w:t>
            </w:r>
          </w:p>
        </w:tc>
        <w:tc>
          <w:tcPr>
            <w:tcW w:w="218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按三级航道标准建设航道7公里</w:t>
            </w:r>
          </w:p>
        </w:tc>
        <w:tc>
          <w:tcPr>
            <w:tcW w:w="1166"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12</w:t>
            </w:r>
          </w:p>
        </w:tc>
        <w:tc>
          <w:tcPr>
            <w:tcW w:w="129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1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2028</w:t>
            </w:r>
          </w:p>
        </w:tc>
        <w:tc>
          <w:tcPr>
            <w:tcW w:w="1056"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平湖市政府</w:t>
            </w:r>
          </w:p>
        </w:tc>
        <w:tc>
          <w:tcPr>
            <w:tcW w:w="2074"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w:t>
            </w:r>
          </w:p>
        </w:tc>
        <w:tc>
          <w:tcPr>
            <w:tcW w:w="236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proofErr w:type="gramStart"/>
            <w:r w:rsidRPr="00CF0586">
              <w:rPr>
                <w:rFonts w:ascii="宋体" w:eastAsia="宋体" w:hAnsi="宋体" w:cs="宋体" w:hint="eastAsia"/>
                <w:snapToGrid w:val="0"/>
                <w:kern w:val="0"/>
                <w:sz w:val="24"/>
                <w:szCs w:val="24"/>
              </w:rPr>
              <w:t>嘉海尖线</w:t>
            </w:r>
            <w:proofErr w:type="gramEnd"/>
            <w:r w:rsidRPr="00CF0586">
              <w:rPr>
                <w:rFonts w:ascii="宋体" w:eastAsia="宋体" w:hAnsi="宋体" w:cs="宋体" w:hint="eastAsia"/>
                <w:snapToGrid w:val="0"/>
                <w:kern w:val="0"/>
                <w:sz w:val="24"/>
                <w:szCs w:val="24"/>
              </w:rPr>
              <w:t>（长水塘、</w:t>
            </w:r>
            <w:proofErr w:type="gramStart"/>
            <w:r w:rsidRPr="00CF0586">
              <w:rPr>
                <w:rFonts w:ascii="宋体" w:eastAsia="宋体" w:hAnsi="宋体" w:cs="宋体" w:hint="eastAsia"/>
                <w:snapToGrid w:val="0"/>
                <w:kern w:val="0"/>
                <w:sz w:val="24"/>
                <w:szCs w:val="24"/>
              </w:rPr>
              <w:t>硖</w:t>
            </w:r>
            <w:proofErr w:type="gramEnd"/>
            <w:r w:rsidRPr="00CF0586">
              <w:rPr>
                <w:rFonts w:ascii="宋体" w:eastAsia="宋体" w:hAnsi="宋体" w:cs="宋体" w:hint="eastAsia"/>
                <w:snapToGrid w:val="0"/>
                <w:kern w:val="0"/>
                <w:sz w:val="24"/>
                <w:szCs w:val="24"/>
              </w:rPr>
              <w:t>尖线）</w:t>
            </w:r>
          </w:p>
        </w:tc>
        <w:tc>
          <w:tcPr>
            <w:tcW w:w="218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按三级航道标准建设航道51公里</w:t>
            </w:r>
          </w:p>
        </w:tc>
        <w:tc>
          <w:tcPr>
            <w:tcW w:w="1166"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50</w:t>
            </w:r>
          </w:p>
        </w:tc>
        <w:tc>
          <w:tcPr>
            <w:tcW w:w="129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1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2028</w:t>
            </w:r>
          </w:p>
        </w:tc>
        <w:tc>
          <w:tcPr>
            <w:tcW w:w="1056"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proofErr w:type="gramStart"/>
            <w:r w:rsidRPr="00CF0586">
              <w:rPr>
                <w:rFonts w:ascii="宋体" w:eastAsia="宋体" w:hAnsi="宋体" w:cs="宋体" w:hint="eastAsia"/>
                <w:snapToGrid w:val="0"/>
                <w:kern w:val="0"/>
                <w:sz w:val="24"/>
                <w:szCs w:val="24"/>
              </w:rPr>
              <w:t>秀洲区</w:t>
            </w:r>
            <w:proofErr w:type="gramEnd"/>
            <w:r w:rsidRPr="00CF0586">
              <w:rPr>
                <w:rFonts w:ascii="宋体" w:eastAsia="宋体" w:hAnsi="宋体" w:cs="宋体" w:hint="eastAsia"/>
                <w:snapToGrid w:val="0"/>
                <w:kern w:val="0"/>
                <w:sz w:val="24"/>
                <w:szCs w:val="24"/>
              </w:rPr>
              <w:t>、海宁市政府</w:t>
            </w:r>
          </w:p>
        </w:tc>
        <w:tc>
          <w:tcPr>
            <w:tcW w:w="2074"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4</w:t>
            </w:r>
          </w:p>
        </w:tc>
        <w:tc>
          <w:tcPr>
            <w:tcW w:w="236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杭平申复线（</w:t>
            </w:r>
            <w:proofErr w:type="gramStart"/>
            <w:r w:rsidRPr="00CF0586">
              <w:rPr>
                <w:rFonts w:ascii="宋体" w:eastAsia="宋体" w:hAnsi="宋体" w:cs="宋体" w:hint="eastAsia"/>
                <w:snapToGrid w:val="0"/>
                <w:kern w:val="0"/>
                <w:sz w:val="24"/>
                <w:szCs w:val="24"/>
              </w:rPr>
              <w:t>辛江塘</w:t>
            </w:r>
            <w:proofErr w:type="gramEnd"/>
            <w:r w:rsidRPr="00CF0586">
              <w:rPr>
                <w:rFonts w:ascii="宋体" w:eastAsia="宋体" w:hAnsi="宋体" w:cs="宋体" w:hint="eastAsia"/>
                <w:snapToGrid w:val="0"/>
                <w:kern w:val="0"/>
                <w:sz w:val="24"/>
                <w:szCs w:val="24"/>
              </w:rPr>
              <w:t>）航道提升工程</w:t>
            </w:r>
          </w:p>
        </w:tc>
        <w:tc>
          <w:tcPr>
            <w:tcW w:w="218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spacing w:val="-11"/>
                <w:kern w:val="0"/>
                <w:sz w:val="24"/>
                <w:szCs w:val="24"/>
              </w:rPr>
              <w:t>按准三级航道标准建设航道62.44公里</w:t>
            </w:r>
          </w:p>
        </w:tc>
        <w:tc>
          <w:tcPr>
            <w:tcW w:w="1166"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130</w:t>
            </w:r>
          </w:p>
        </w:tc>
        <w:tc>
          <w:tcPr>
            <w:tcW w:w="129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2027</w:t>
            </w:r>
          </w:p>
        </w:tc>
        <w:tc>
          <w:tcPr>
            <w:tcW w:w="101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2030</w:t>
            </w:r>
          </w:p>
        </w:tc>
        <w:tc>
          <w:tcPr>
            <w:tcW w:w="1056"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海宁市、海盐县政府</w:t>
            </w:r>
          </w:p>
        </w:tc>
        <w:tc>
          <w:tcPr>
            <w:tcW w:w="2074"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EC696C" w:rsidRPr="00CF0586">
        <w:trPr>
          <w:trHeight w:val="454"/>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EC696C"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w:t>
            </w:r>
          </w:p>
        </w:tc>
        <w:tc>
          <w:tcPr>
            <w:tcW w:w="236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独山A区1号液体散货泊位工程</w:t>
            </w:r>
          </w:p>
        </w:tc>
        <w:tc>
          <w:tcPr>
            <w:tcW w:w="218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5万吨级油品、液体化工泊位1个</w:t>
            </w:r>
          </w:p>
        </w:tc>
        <w:tc>
          <w:tcPr>
            <w:tcW w:w="1166"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4</w:t>
            </w:r>
          </w:p>
        </w:tc>
        <w:tc>
          <w:tcPr>
            <w:tcW w:w="1295"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1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2028</w:t>
            </w:r>
          </w:p>
        </w:tc>
        <w:tc>
          <w:tcPr>
            <w:tcW w:w="1056"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平湖市政府</w:t>
            </w:r>
          </w:p>
        </w:tc>
        <w:tc>
          <w:tcPr>
            <w:tcW w:w="2074" w:type="dxa"/>
            <w:tcBorders>
              <w:top w:val="nil"/>
              <w:left w:val="nil"/>
              <w:bottom w:val="single" w:sz="4" w:space="0" w:color="auto"/>
              <w:right w:val="single" w:sz="4" w:space="0" w:color="auto"/>
            </w:tcBorders>
            <w:shd w:val="clear" w:color="auto" w:fill="auto"/>
            <w:vAlign w:val="center"/>
          </w:tcPr>
          <w:p w:rsidR="00EC696C" w:rsidRPr="00CF0586" w:rsidRDefault="00407F56">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1D2DC5" w:rsidRPr="00CF0586">
        <w:trPr>
          <w:trHeight w:val="454"/>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1D2DC5" w:rsidRPr="00CF0586" w:rsidRDefault="001D2DC5" w:rsidP="00CF23D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6</w:t>
            </w:r>
          </w:p>
        </w:tc>
        <w:tc>
          <w:tcPr>
            <w:tcW w:w="236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独山A区10号液体散货泊位工程</w:t>
            </w:r>
          </w:p>
        </w:tc>
        <w:tc>
          <w:tcPr>
            <w:tcW w:w="218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5万吨级液体散货泊位1个</w:t>
            </w:r>
          </w:p>
        </w:tc>
        <w:tc>
          <w:tcPr>
            <w:tcW w:w="1166"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4</w:t>
            </w:r>
          </w:p>
        </w:tc>
        <w:tc>
          <w:tcPr>
            <w:tcW w:w="129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1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2028</w:t>
            </w:r>
          </w:p>
        </w:tc>
        <w:tc>
          <w:tcPr>
            <w:tcW w:w="1056"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平湖市政府</w:t>
            </w:r>
          </w:p>
        </w:tc>
        <w:tc>
          <w:tcPr>
            <w:tcW w:w="2074"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1D2DC5" w:rsidRPr="00CF0586">
        <w:trPr>
          <w:trHeight w:val="454"/>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1D2DC5" w:rsidRPr="00CF0586" w:rsidRDefault="001D2DC5" w:rsidP="00CF23D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7</w:t>
            </w:r>
          </w:p>
        </w:tc>
        <w:tc>
          <w:tcPr>
            <w:tcW w:w="236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独山A区11、12号液体散货泊位工程</w:t>
            </w:r>
          </w:p>
        </w:tc>
        <w:tc>
          <w:tcPr>
            <w:tcW w:w="218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5万吨级液体散货泊位2个</w:t>
            </w:r>
          </w:p>
        </w:tc>
        <w:tc>
          <w:tcPr>
            <w:tcW w:w="1166"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8</w:t>
            </w:r>
          </w:p>
        </w:tc>
        <w:tc>
          <w:tcPr>
            <w:tcW w:w="129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2027</w:t>
            </w:r>
          </w:p>
        </w:tc>
        <w:tc>
          <w:tcPr>
            <w:tcW w:w="101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2029</w:t>
            </w:r>
          </w:p>
        </w:tc>
        <w:tc>
          <w:tcPr>
            <w:tcW w:w="1056"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平湖市政府</w:t>
            </w:r>
          </w:p>
        </w:tc>
        <w:tc>
          <w:tcPr>
            <w:tcW w:w="2074"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1D2DC5" w:rsidRPr="00CF0586">
        <w:trPr>
          <w:trHeight w:val="454"/>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1D2DC5" w:rsidRPr="00CF0586" w:rsidRDefault="001D2DC5" w:rsidP="00CF23D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lastRenderedPageBreak/>
              <w:t>8</w:t>
            </w:r>
          </w:p>
        </w:tc>
        <w:tc>
          <w:tcPr>
            <w:tcW w:w="236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独山海河联运作业Ⅰ区工程</w:t>
            </w:r>
          </w:p>
        </w:tc>
        <w:tc>
          <w:tcPr>
            <w:tcW w:w="218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500吨级～1000吨级泊位16个</w:t>
            </w:r>
          </w:p>
        </w:tc>
        <w:tc>
          <w:tcPr>
            <w:tcW w:w="1166"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4</w:t>
            </w:r>
          </w:p>
        </w:tc>
        <w:tc>
          <w:tcPr>
            <w:tcW w:w="129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2027</w:t>
            </w:r>
          </w:p>
        </w:tc>
        <w:tc>
          <w:tcPr>
            <w:tcW w:w="101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2029</w:t>
            </w:r>
          </w:p>
        </w:tc>
        <w:tc>
          <w:tcPr>
            <w:tcW w:w="1056"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平湖市政府</w:t>
            </w:r>
          </w:p>
        </w:tc>
        <w:tc>
          <w:tcPr>
            <w:tcW w:w="2074"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1D2DC5" w:rsidRPr="00CF0586">
        <w:trPr>
          <w:trHeight w:val="454"/>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1D2DC5" w:rsidRPr="00CF0586" w:rsidRDefault="001D2DC5" w:rsidP="00CF23D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9</w:t>
            </w:r>
          </w:p>
        </w:tc>
        <w:tc>
          <w:tcPr>
            <w:tcW w:w="236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海盐港区G区林龙码头二期工程</w:t>
            </w:r>
          </w:p>
        </w:tc>
        <w:tc>
          <w:tcPr>
            <w:tcW w:w="218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spacing w:val="-6"/>
                <w:kern w:val="0"/>
                <w:sz w:val="24"/>
                <w:szCs w:val="24"/>
              </w:rPr>
              <w:t>万吨级通用泊位2个</w:t>
            </w:r>
          </w:p>
        </w:tc>
        <w:tc>
          <w:tcPr>
            <w:tcW w:w="1166"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8</w:t>
            </w:r>
          </w:p>
        </w:tc>
        <w:tc>
          <w:tcPr>
            <w:tcW w:w="1295"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1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2027</w:t>
            </w:r>
          </w:p>
        </w:tc>
        <w:tc>
          <w:tcPr>
            <w:tcW w:w="1056"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海盐县政府</w:t>
            </w:r>
          </w:p>
        </w:tc>
        <w:tc>
          <w:tcPr>
            <w:tcW w:w="2074" w:type="dxa"/>
            <w:tcBorders>
              <w:top w:val="nil"/>
              <w:left w:val="nil"/>
              <w:bottom w:val="single" w:sz="4" w:space="0" w:color="auto"/>
              <w:right w:val="single" w:sz="4" w:space="0" w:color="auto"/>
            </w:tcBorders>
            <w:shd w:val="clear" w:color="auto" w:fill="auto"/>
            <w:vAlign w:val="center"/>
          </w:tcPr>
          <w:p w:rsidR="001D2DC5" w:rsidRPr="00CF0586" w:rsidRDefault="001D2DC5">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7E3A39" w:rsidRPr="00CF0586">
        <w:trPr>
          <w:trHeight w:val="454"/>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7E3A39" w:rsidRPr="00CF0586" w:rsidRDefault="007E3A39" w:rsidP="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10</w:t>
            </w:r>
          </w:p>
        </w:tc>
        <w:tc>
          <w:tcPr>
            <w:tcW w:w="2365" w:type="dxa"/>
            <w:tcBorders>
              <w:top w:val="nil"/>
              <w:left w:val="nil"/>
              <w:bottom w:val="single" w:sz="4" w:space="0" w:color="auto"/>
              <w:right w:val="single" w:sz="4" w:space="0" w:color="auto"/>
            </w:tcBorders>
            <w:shd w:val="clear" w:color="auto" w:fill="auto"/>
            <w:vAlign w:val="center"/>
          </w:tcPr>
          <w:p w:rsidR="007E3A39" w:rsidRPr="00CF0586" w:rsidRDefault="007E3A39" w:rsidP="00184BB2">
            <w:pPr>
              <w:widowControl/>
              <w:spacing w:line="360" w:lineRule="exact"/>
              <w:ind w:firstLine="0"/>
              <w:rPr>
                <w:rFonts w:ascii="宋体" w:eastAsia="宋体" w:hAnsi="宋体" w:cs="宋体"/>
                <w:snapToGrid w:val="0"/>
                <w:spacing w:val="-6"/>
                <w:kern w:val="0"/>
                <w:sz w:val="24"/>
                <w:szCs w:val="24"/>
              </w:rPr>
            </w:pPr>
            <w:proofErr w:type="gramStart"/>
            <w:r w:rsidRPr="00CF0586">
              <w:rPr>
                <w:rFonts w:ascii="宋体" w:eastAsia="宋体" w:hAnsi="宋体" w:cs="宋体" w:hint="eastAsia"/>
                <w:snapToGrid w:val="0"/>
                <w:kern w:val="0"/>
                <w:sz w:val="24"/>
                <w:szCs w:val="24"/>
              </w:rPr>
              <w:t>嘉兴港海河</w:t>
            </w:r>
            <w:proofErr w:type="gramEnd"/>
            <w:r w:rsidRPr="00CF0586">
              <w:rPr>
                <w:rFonts w:ascii="宋体" w:eastAsia="宋体" w:hAnsi="宋体" w:cs="宋体" w:hint="eastAsia"/>
                <w:snapToGrid w:val="0"/>
                <w:kern w:val="0"/>
                <w:sz w:val="24"/>
                <w:szCs w:val="24"/>
              </w:rPr>
              <w:t>联运闭合港池工程</w:t>
            </w:r>
          </w:p>
        </w:tc>
        <w:tc>
          <w:tcPr>
            <w:tcW w:w="2185" w:type="dxa"/>
            <w:tcBorders>
              <w:top w:val="nil"/>
              <w:left w:val="nil"/>
              <w:bottom w:val="single" w:sz="4" w:space="0" w:color="auto"/>
              <w:right w:val="single" w:sz="4" w:space="0" w:color="auto"/>
            </w:tcBorders>
            <w:shd w:val="clear" w:color="auto" w:fill="auto"/>
            <w:vAlign w:val="center"/>
          </w:tcPr>
          <w:p w:rsidR="007E3A39" w:rsidRPr="00CF0586" w:rsidRDefault="007E3A39" w:rsidP="007E3A39">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港池开挖、进港航道、水工工程（码头、船闸、港池围堤）等</w:t>
            </w:r>
          </w:p>
        </w:tc>
        <w:tc>
          <w:tcPr>
            <w:tcW w:w="1166" w:type="dxa"/>
            <w:tcBorders>
              <w:top w:val="nil"/>
              <w:left w:val="nil"/>
              <w:bottom w:val="single" w:sz="4" w:space="0" w:color="auto"/>
              <w:right w:val="single" w:sz="4" w:space="0" w:color="auto"/>
            </w:tcBorders>
            <w:shd w:val="clear" w:color="auto" w:fill="auto"/>
            <w:vAlign w:val="center"/>
          </w:tcPr>
          <w:p w:rsidR="007E3A39" w:rsidRPr="00CF0586" w:rsidRDefault="007E3A39" w:rsidP="00184BB2">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w:t>
            </w:r>
          </w:p>
        </w:tc>
        <w:tc>
          <w:tcPr>
            <w:tcW w:w="1295" w:type="dxa"/>
            <w:tcBorders>
              <w:top w:val="nil"/>
              <w:left w:val="nil"/>
              <w:bottom w:val="single" w:sz="4" w:space="0" w:color="auto"/>
              <w:right w:val="single" w:sz="4" w:space="0" w:color="auto"/>
            </w:tcBorders>
            <w:shd w:val="clear" w:color="auto" w:fill="auto"/>
            <w:vAlign w:val="center"/>
          </w:tcPr>
          <w:p w:rsidR="007E3A39" w:rsidRPr="00CF0586" w:rsidRDefault="007E3A39" w:rsidP="00184BB2">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nil"/>
              <w:left w:val="nil"/>
              <w:bottom w:val="single" w:sz="4" w:space="0" w:color="auto"/>
              <w:right w:val="single" w:sz="4" w:space="0" w:color="auto"/>
            </w:tcBorders>
            <w:shd w:val="clear" w:color="auto" w:fill="auto"/>
            <w:vAlign w:val="center"/>
          </w:tcPr>
          <w:p w:rsidR="007E3A39" w:rsidRPr="00CF0586" w:rsidRDefault="007E3A39" w:rsidP="00184BB2">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11" w:type="dxa"/>
            <w:tcBorders>
              <w:top w:val="nil"/>
              <w:left w:val="nil"/>
              <w:bottom w:val="single" w:sz="4" w:space="0" w:color="auto"/>
              <w:right w:val="single" w:sz="4" w:space="0" w:color="auto"/>
            </w:tcBorders>
            <w:shd w:val="clear" w:color="auto" w:fill="auto"/>
            <w:vAlign w:val="center"/>
          </w:tcPr>
          <w:p w:rsidR="007E3A39" w:rsidRPr="00CF0586" w:rsidRDefault="007E3A39" w:rsidP="00184BB2">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2028</w:t>
            </w:r>
          </w:p>
        </w:tc>
        <w:tc>
          <w:tcPr>
            <w:tcW w:w="1056" w:type="dxa"/>
            <w:tcBorders>
              <w:top w:val="nil"/>
              <w:left w:val="nil"/>
              <w:bottom w:val="single" w:sz="4" w:space="0" w:color="auto"/>
              <w:right w:val="single" w:sz="4" w:space="0" w:color="auto"/>
            </w:tcBorders>
            <w:shd w:val="clear" w:color="auto" w:fill="auto"/>
            <w:vAlign w:val="center"/>
          </w:tcPr>
          <w:p w:rsidR="007E3A39" w:rsidRPr="00CF0586" w:rsidRDefault="007E3A39" w:rsidP="00184BB2">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7E3A39" w:rsidRPr="00CF0586" w:rsidRDefault="007E3A39" w:rsidP="00184BB2">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c>
          <w:tcPr>
            <w:tcW w:w="2074" w:type="dxa"/>
            <w:tcBorders>
              <w:top w:val="nil"/>
              <w:left w:val="nil"/>
              <w:bottom w:val="single" w:sz="4" w:space="0" w:color="auto"/>
              <w:right w:val="single" w:sz="4" w:space="0" w:color="auto"/>
            </w:tcBorders>
            <w:shd w:val="clear" w:color="auto" w:fill="auto"/>
            <w:vAlign w:val="center"/>
          </w:tcPr>
          <w:p w:rsidR="007E3A39" w:rsidRPr="00CF0586" w:rsidRDefault="007E3A39" w:rsidP="00184BB2">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市自然资源和规划局、市水利局、嘉兴海事局</w:t>
            </w:r>
          </w:p>
        </w:tc>
      </w:tr>
      <w:tr w:rsidR="007E3A39" w:rsidRPr="00CF0586">
        <w:trPr>
          <w:trHeight w:val="454"/>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E3A39" w:rsidRPr="00CF0586" w:rsidRDefault="007E3A39" w:rsidP="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11</w:t>
            </w:r>
          </w:p>
        </w:tc>
        <w:tc>
          <w:tcPr>
            <w:tcW w:w="236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rPr>
                <w:rFonts w:ascii="宋体" w:eastAsia="宋体" w:hAnsi="宋体" w:cs="宋体"/>
                <w:snapToGrid w:val="0"/>
                <w:kern w:val="0"/>
                <w:sz w:val="24"/>
                <w:szCs w:val="24"/>
              </w:rPr>
            </w:pPr>
            <w:proofErr w:type="gramStart"/>
            <w:r w:rsidRPr="00CF0586">
              <w:rPr>
                <w:rFonts w:ascii="宋体" w:eastAsia="宋体" w:hAnsi="宋体" w:cs="宋体" w:hint="eastAsia"/>
                <w:snapToGrid w:val="0"/>
                <w:kern w:val="0"/>
                <w:sz w:val="24"/>
                <w:szCs w:val="24"/>
              </w:rPr>
              <w:t>翁金线</w:t>
            </w:r>
            <w:proofErr w:type="gramEnd"/>
            <w:r w:rsidRPr="00CF0586">
              <w:rPr>
                <w:rFonts w:ascii="宋体" w:eastAsia="宋体" w:hAnsi="宋体" w:cs="宋体" w:hint="eastAsia"/>
                <w:snapToGrid w:val="0"/>
                <w:kern w:val="0"/>
                <w:sz w:val="24"/>
                <w:szCs w:val="24"/>
              </w:rPr>
              <w:t>（乍浦界-上海界）改造提升工程</w:t>
            </w:r>
          </w:p>
        </w:tc>
        <w:tc>
          <w:tcPr>
            <w:tcW w:w="218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二级公路，20.1公里（其中利用段5.5公里），路幅16米</w:t>
            </w:r>
          </w:p>
        </w:tc>
        <w:tc>
          <w:tcPr>
            <w:tcW w:w="1166"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5</w:t>
            </w:r>
          </w:p>
        </w:tc>
        <w:tc>
          <w:tcPr>
            <w:tcW w:w="129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2027</w:t>
            </w:r>
          </w:p>
        </w:tc>
        <w:tc>
          <w:tcPr>
            <w:tcW w:w="101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2030</w:t>
            </w:r>
          </w:p>
        </w:tc>
        <w:tc>
          <w:tcPr>
            <w:tcW w:w="1056"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平湖市政府</w:t>
            </w:r>
          </w:p>
        </w:tc>
        <w:tc>
          <w:tcPr>
            <w:tcW w:w="2074"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7E3A39" w:rsidRPr="00CF0586">
        <w:trPr>
          <w:trHeight w:val="454"/>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E3A39" w:rsidRPr="00CF0586" w:rsidRDefault="007E3A39" w:rsidP="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12</w:t>
            </w:r>
          </w:p>
        </w:tc>
        <w:tc>
          <w:tcPr>
            <w:tcW w:w="236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海盐港区(C区)</w:t>
            </w:r>
            <w:proofErr w:type="gramStart"/>
            <w:r w:rsidRPr="00CF0586">
              <w:rPr>
                <w:rFonts w:ascii="宋体" w:eastAsia="宋体" w:hAnsi="宋体" w:cs="宋体" w:hint="eastAsia"/>
                <w:snapToGrid w:val="0"/>
                <w:kern w:val="0"/>
                <w:sz w:val="24"/>
                <w:szCs w:val="24"/>
              </w:rPr>
              <w:t>至嘉盐线</w:t>
            </w:r>
            <w:proofErr w:type="gramEnd"/>
            <w:r w:rsidRPr="00CF0586">
              <w:rPr>
                <w:rFonts w:ascii="宋体" w:eastAsia="宋体" w:hAnsi="宋体" w:cs="宋体" w:hint="eastAsia"/>
                <w:snapToGrid w:val="0"/>
                <w:kern w:val="0"/>
                <w:sz w:val="24"/>
                <w:szCs w:val="24"/>
              </w:rPr>
              <w:t>工程</w:t>
            </w:r>
          </w:p>
        </w:tc>
        <w:tc>
          <w:tcPr>
            <w:tcW w:w="218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一级公路9公里</w:t>
            </w:r>
          </w:p>
        </w:tc>
        <w:tc>
          <w:tcPr>
            <w:tcW w:w="1166"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10</w:t>
            </w:r>
          </w:p>
        </w:tc>
        <w:tc>
          <w:tcPr>
            <w:tcW w:w="129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2027</w:t>
            </w:r>
          </w:p>
        </w:tc>
        <w:tc>
          <w:tcPr>
            <w:tcW w:w="101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2028</w:t>
            </w:r>
          </w:p>
        </w:tc>
        <w:tc>
          <w:tcPr>
            <w:tcW w:w="1056"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海盐县政府</w:t>
            </w:r>
          </w:p>
        </w:tc>
        <w:tc>
          <w:tcPr>
            <w:tcW w:w="2074"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7E3A39" w:rsidRPr="00CF0586">
        <w:trPr>
          <w:trHeight w:val="454"/>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E3A39" w:rsidRPr="00CF0586" w:rsidRDefault="007E3A39" w:rsidP="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13</w:t>
            </w:r>
          </w:p>
        </w:tc>
        <w:tc>
          <w:tcPr>
            <w:tcW w:w="236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海盐港区(C区)至G1522</w:t>
            </w:r>
            <w:proofErr w:type="gramStart"/>
            <w:r w:rsidRPr="00CF0586">
              <w:rPr>
                <w:rFonts w:ascii="宋体" w:eastAsia="宋体" w:hAnsi="宋体" w:cs="宋体" w:hint="eastAsia"/>
                <w:snapToGrid w:val="0"/>
                <w:kern w:val="0"/>
                <w:sz w:val="24"/>
                <w:szCs w:val="24"/>
              </w:rPr>
              <w:t>常台高速公路</w:t>
            </w:r>
            <w:proofErr w:type="gramEnd"/>
            <w:r w:rsidRPr="00CF0586">
              <w:rPr>
                <w:rFonts w:ascii="宋体" w:eastAsia="宋体" w:hAnsi="宋体" w:cs="宋体" w:hint="eastAsia"/>
                <w:snapToGrid w:val="0"/>
                <w:kern w:val="0"/>
                <w:sz w:val="24"/>
                <w:szCs w:val="24"/>
              </w:rPr>
              <w:t>百步互通工程</w:t>
            </w:r>
          </w:p>
        </w:tc>
        <w:tc>
          <w:tcPr>
            <w:tcW w:w="218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一级公路14公里</w:t>
            </w:r>
          </w:p>
        </w:tc>
        <w:tc>
          <w:tcPr>
            <w:tcW w:w="1166"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19</w:t>
            </w:r>
          </w:p>
        </w:tc>
        <w:tc>
          <w:tcPr>
            <w:tcW w:w="129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01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2026</w:t>
            </w:r>
          </w:p>
        </w:tc>
        <w:tc>
          <w:tcPr>
            <w:tcW w:w="101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2028</w:t>
            </w:r>
          </w:p>
        </w:tc>
        <w:tc>
          <w:tcPr>
            <w:tcW w:w="1056"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海盐县政府</w:t>
            </w:r>
          </w:p>
        </w:tc>
        <w:tc>
          <w:tcPr>
            <w:tcW w:w="2074"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r w:rsidR="007E3A39" w:rsidRPr="00CF0586">
        <w:trPr>
          <w:trHeight w:val="454"/>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E3A39" w:rsidRPr="00CF0586" w:rsidRDefault="007E3A39" w:rsidP="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14</w:t>
            </w:r>
          </w:p>
        </w:tc>
        <w:tc>
          <w:tcPr>
            <w:tcW w:w="236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rPr>
                <w:rFonts w:ascii="宋体" w:eastAsia="宋体" w:hAnsi="宋体" w:cs="宋体"/>
                <w:snapToGrid w:val="0"/>
                <w:kern w:val="0"/>
                <w:sz w:val="24"/>
                <w:szCs w:val="24"/>
              </w:rPr>
            </w:pPr>
            <w:proofErr w:type="gramStart"/>
            <w:r w:rsidRPr="00CF0586">
              <w:rPr>
                <w:rFonts w:ascii="宋体" w:eastAsia="宋体" w:hAnsi="宋体" w:cs="宋体" w:hint="eastAsia"/>
                <w:snapToGrid w:val="0"/>
                <w:spacing w:val="-6"/>
                <w:kern w:val="0"/>
                <w:sz w:val="24"/>
                <w:szCs w:val="24"/>
              </w:rPr>
              <w:t>嘉兴港</w:t>
            </w:r>
            <w:proofErr w:type="gramEnd"/>
            <w:r w:rsidRPr="00CF0586">
              <w:rPr>
                <w:rFonts w:ascii="宋体" w:eastAsia="宋体" w:hAnsi="宋体" w:cs="宋体" w:hint="eastAsia"/>
                <w:snapToGrid w:val="0"/>
                <w:spacing w:val="-6"/>
                <w:kern w:val="0"/>
                <w:sz w:val="24"/>
                <w:szCs w:val="24"/>
              </w:rPr>
              <w:t>进港铁路支线</w:t>
            </w:r>
          </w:p>
        </w:tc>
        <w:tc>
          <w:tcPr>
            <w:tcW w:w="218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货运铁路30公里</w:t>
            </w:r>
          </w:p>
        </w:tc>
        <w:tc>
          <w:tcPr>
            <w:tcW w:w="1166"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30</w:t>
            </w:r>
          </w:p>
        </w:tc>
        <w:tc>
          <w:tcPr>
            <w:tcW w:w="1295"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2028</w:t>
            </w:r>
          </w:p>
        </w:tc>
        <w:tc>
          <w:tcPr>
            <w:tcW w:w="101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2030</w:t>
            </w:r>
          </w:p>
        </w:tc>
        <w:tc>
          <w:tcPr>
            <w:tcW w:w="1056"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adjustRightInd w:val="0"/>
              <w:snapToGrid w:val="0"/>
              <w:spacing w:line="360" w:lineRule="exact"/>
              <w:ind w:leftChars="-20" w:left="-64" w:rightChars="-20" w:right="-64" w:firstLine="0"/>
              <w:jc w:val="center"/>
              <w:rPr>
                <w:rFonts w:ascii="宋体" w:eastAsia="宋体" w:hAnsi="宋体" w:cs="宋体"/>
                <w:snapToGrid w:val="0"/>
                <w:kern w:val="0"/>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市发展改革委</w:t>
            </w:r>
          </w:p>
        </w:tc>
        <w:tc>
          <w:tcPr>
            <w:tcW w:w="2074" w:type="dxa"/>
            <w:tcBorders>
              <w:top w:val="single" w:sz="4" w:space="0" w:color="auto"/>
              <w:left w:val="nil"/>
              <w:bottom w:val="single" w:sz="4" w:space="0" w:color="auto"/>
              <w:right w:val="single" w:sz="4" w:space="0" w:color="auto"/>
            </w:tcBorders>
            <w:shd w:val="clear" w:color="auto" w:fill="auto"/>
            <w:vAlign w:val="center"/>
          </w:tcPr>
          <w:p w:rsidR="007E3A39" w:rsidRPr="00CF0586" w:rsidRDefault="007E3A39">
            <w:pPr>
              <w:widowControl/>
              <w:spacing w:line="360" w:lineRule="exact"/>
              <w:ind w:firstLine="0"/>
              <w:jc w:val="center"/>
              <w:rPr>
                <w:rFonts w:ascii="宋体" w:eastAsia="宋体" w:hAnsi="宋体" w:cs="宋体"/>
                <w:snapToGrid w:val="0"/>
                <w:kern w:val="0"/>
                <w:sz w:val="24"/>
                <w:szCs w:val="24"/>
              </w:rPr>
            </w:pPr>
            <w:r w:rsidRPr="00CF0586">
              <w:rPr>
                <w:rFonts w:ascii="宋体" w:eastAsia="宋体" w:hAnsi="宋体" w:cs="宋体" w:hint="eastAsia"/>
                <w:snapToGrid w:val="0"/>
                <w:kern w:val="0"/>
                <w:sz w:val="24"/>
                <w:szCs w:val="24"/>
              </w:rPr>
              <w:t>市交通运输局</w:t>
            </w:r>
          </w:p>
        </w:tc>
      </w:tr>
    </w:tbl>
    <w:p w:rsidR="00EC696C" w:rsidRPr="00CF0586" w:rsidRDefault="00EC696C">
      <w:pPr>
        <w:ind w:firstLine="0"/>
        <w:rPr>
          <w:rFonts w:ascii="Times New Roman" w:eastAsia="黑体" w:cs="Times New Roman"/>
          <w:szCs w:val="32"/>
        </w:rPr>
      </w:pPr>
    </w:p>
    <w:sectPr w:rsidR="00EC696C" w:rsidRPr="00CF0586">
      <w:pgSz w:w="16838" w:h="11906" w:orient="landscape"/>
      <w:pgMar w:top="1797" w:right="1440" w:bottom="1797" w:left="1440" w:header="851" w:footer="1077" w:gutter="0"/>
      <w:cols w:space="0"/>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02" w:rsidRDefault="002A3F02">
      <w:pPr>
        <w:spacing w:line="240" w:lineRule="auto"/>
      </w:pPr>
      <w:r>
        <w:separator/>
      </w:r>
    </w:p>
  </w:endnote>
  <w:endnote w:type="continuationSeparator" w:id="0">
    <w:p w:rsidR="002A3F02" w:rsidRDefault="002A3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84" w:rsidRDefault="00B47684">
    <w:pPr>
      <w:pStyle w:val="a4"/>
      <w:ind w:firstLine="0"/>
    </w:pPr>
    <w:r>
      <w:rPr>
        <w:noProof/>
      </w:rPr>
      <mc:AlternateContent>
        <mc:Choice Requires="wps">
          <w:drawing>
            <wp:anchor distT="0" distB="0" distL="114300" distR="114300" simplePos="0" relativeHeight="251660288" behindDoc="0" locked="0" layoutInCell="1" allowOverlap="1" wp14:anchorId="6D5193B0" wp14:editId="6D9BC52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47684" w:rsidRDefault="00B47684">
                          <w:pPr>
                            <w:pStyle w:val="a4"/>
                            <w:spacing w:line="240" w:lineRule="auto"/>
                            <w:ind w:firstLine="0"/>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A958EA">
                            <w:rPr>
                              <w:rFonts w:ascii="Times New Roman" w:cs="Times New Roman"/>
                              <w:noProof/>
                              <w:sz w:val="24"/>
                              <w:szCs w:val="24"/>
                            </w:rPr>
                            <w:t>1</w:t>
                          </w:r>
                          <w:r>
                            <w:rPr>
                              <w:rFonts w:asci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B47684" w:rsidRDefault="00B47684">
                    <w:pPr>
                      <w:pStyle w:val="a4"/>
                      <w:spacing w:line="240" w:lineRule="auto"/>
                      <w:ind w:firstLine="0"/>
                      <w:rPr>
                        <w:rFonts w:ascii="Times New Roman" w:cs="Times New Roman"/>
                        <w:sz w:val="24"/>
                        <w:szCs w:val="24"/>
                      </w:rPr>
                    </w:pPr>
                    <w:r>
                      <w:rPr>
                        <w:rFonts w:ascii="Times New Roman" w:cs="Times New Roman"/>
                        <w:sz w:val="24"/>
                        <w:szCs w:val="24"/>
                      </w:rPr>
                      <w:fldChar w:fldCharType="begin"/>
                    </w:r>
                    <w:r>
                      <w:rPr>
                        <w:rFonts w:ascii="Times New Roman" w:cs="Times New Roman"/>
                        <w:sz w:val="24"/>
                        <w:szCs w:val="24"/>
                      </w:rPr>
                      <w:instrText xml:space="preserve"> PAGE  \* MERGEFORMAT </w:instrText>
                    </w:r>
                    <w:r>
                      <w:rPr>
                        <w:rFonts w:ascii="Times New Roman" w:cs="Times New Roman"/>
                        <w:sz w:val="24"/>
                        <w:szCs w:val="24"/>
                      </w:rPr>
                      <w:fldChar w:fldCharType="separate"/>
                    </w:r>
                    <w:r w:rsidR="00A958EA">
                      <w:rPr>
                        <w:rFonts w:ascii="Times New Roman" w:cs="Times New Roman"/>
                        <w:noProof/>
                        <w:sz w:val="24"/>
                        <w:szCs w:val="24"/>
                      </w:rPr>
                      <w:t>1</w:t>
                    </w:r>
                    <w:r>
                      <w:rPr>
                        <w:rFonts w:asci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02" w:rsidRDefault="002A3F02">
      <w:pPr>
        <w:spacing w:line="240" w:lineRule="auto"/>
      </w:pPr>
      <w:r>
        <w:separator/>
      </w:r>
    </w:p>
  </w:footnote>
  <w:footnote w:type="continuationSeparator" w:id="0">
    <w:p w:rsidR="002A3F02" w:rsidRDefault="002A3F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60"/>
  <w:drawingGridVerticalSpacing w:val="218"/>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ODA0NTZlMjQyNmNhNzc0NzBiMDZlNTBhN2Q4ZTgifQ=="/>
  </w:docVars>
  <w:rsids>
    <w:rsidRoot w:val="006B0B69"/>
    <w:rsid w:val="94BFB2A6"/>
    <w:rsid w:val="D6EEE653"/>
    <w:rsid w:val="EFF6C5EA"/>
    <w:rsid w:val="FF7B5921"/>
    <w:rsid w:val="00005083"/>
    <w:rsid w:val="0000557F"/>
    <w:rsid w:val="000071C5"/>
    <w:rsid w:val="00012D03"/>
    <w:rsid w:val="000176A2"/>
    <w:rsid w:val="000230E5"/>
    <w:rsid w:val="000262D8"/>
    <w:rsid w:val="000535C7"/>
    <w:rsid w:val="00055A9A"/>
    <w:rsid w:val="00065517"/>
    <w:rsid w:val="000850C2"/>
    <w:rsid w:val="00093873"/>
    <w:rsid w:val="000A113E"/>
    <w:rsid w:val="000A3D8B"/>
    <w:rsid w:val="000B21DB"/>
    <w:rsid w:val="000B28A3"/>
    <w:rsid w:val="000B70D7"/>
    <w:rsid w:val="000D7233"/>
    <w:rsid w:val="000E4DD1"/>
    <w:rsid w:val="000E73AB"/>
    <w:rsid w:val="000F1226"/>
    <w:rsid w:val="000F2EFF"/>
    <w:rsid w:val="0010323C"/>
    <w:rsid w:val="0010770E"/>
    <w:rsid w:val="0011739F"/>
    <w:rsid w:val="001327D8"/>
    <w:rsid w:val="001475B4"/>
    <w:rsid w:val="00151652"/>
    <w:rsid w:val="00153B58"/>
    <w:rsid w:val="00155D0E"/>
    <w:rsid w:val="0015714B"/>
    <w:rsid w:val="0016068F"/>
    <w:rsid w:val="00171891"/>
    <w:rsid w:val="00171907"/>
    <w:rsid w:val="001731CA"/>
    <w:rsid w:val="00174DFC"/>
    <w:rsid w:val="00184BB2"/>
    <w:rsid w:val="00186A78"/>
    <w:rsid w:val="001924CC"/>
    <w:rsid w:val="001946DD"/>
    <w:rsid w:val="001B121E"/>
    <w:rsid w:val="001B2FEF"/>
    <w:rsid w:val="001C74CF"/>
    <w:rsid w:val="001D2DC5"/>
    <w:rsid w:val="001D4DB3"/>
    <w:rsid w:val="001F0F14"/>
    <w:rsid w:val="001F35F7"/>
    <w:rsid w:val="001F6A11"/>
    <w:rsid w:val="002152DD"/>
    <w:rsid w:val="00226DFB"/>
    <w:rsid w:val="00241D84"/>
    <w:rsid w:val="00245A38"/>
    <w:rsid w:val="002A3F02"/>
    <w:rsid w:val="002B1135"/>
    <w:rsid w:val="002E2BA8"/>
    <w:rsid w:val="002E4584"/>
    <w:rsid w:val="002F0A08"/>
    <w:rsid w:val="002F1819"/>
    <w:rsid w:val="002F1D7E"/>
    <w:rsid w:val="002F3660"/>
    <w:rsid w:val="00300701"/>
    <w:rsid w:val="00314CC2"/>
    <w:rsid w:val="00315420"/>
    <w:rsid w:val="00327293"/>
    <w:rsid w:val="00343C88"/>
    <w:rsid w:val="0036000E"/>
    <w:rsid w:val="00363921"/>
    <w:rsid w:val="00375A92"/>
    <w:rsid w:val="003806BE"/>
    <w:rsid w:val="003A0188"/>
    <w:rsid w:val="003B6A1A"/>
    <w:rsid w:val="003C0275"/>
    <w:rsid w:val="003C4F8A"/>
    <w:rsid w:val="003C6CC2"/>
    <w:rsid w:val="003D54A3"/>
    <w:rsid w:val="003D699D"/>
    <w:rsid w:val="003F0300"/>
    <w:rsid w:val="00402B79"/>
    <w:rsid w:val="004074DE"/>
    <w:rsid w:val="00407F56"/>
    <w:rsid w:val="004152BF"/>
    <w:rsid w:val="00415802"/>
    <w:rsid w:val="0042286A"/>
    <w:rsid w:val="00452EA7"/>
    <w:rsid w:val="004532DC"/>
    <w:rsid w:val="0047503B"/>
    <w:rsid w:val="00484224"/>
    <w:rsid w:val="00497F3C"/>
    <w:rsid w:val="00497FC9"/>
    <w:rsid w:val="004A19F4"/>
    <w:rsid w:val="004A72B3"/>
    <w:rsid w:val="004C3205"/>
    <w:rsid w:val="004D110C"/>
    <w:rsid w:val="004D1818"/>
    <w:rsid w:val="004D49BA"/>
    <w:rsid w:val="004D5149"/>
    <w:rsid w:val="004D6F86"/>
    <w:rsid w:val="004F2CAC"/>
    <w:rsid w:val="0050721C"/>
    <w:rsid w:val="00514226"/>
    <w:rsid w:val="00527E19"/>
    <w:rsid w:val="00541EB2"/>
    <w:rsid w:val="00550A96"/>
    <w:rsid w:val="00557CEF"/>
    <w:rsid w:val="005644F8"/>
    <w:rsid w:val="00565774"/>
    <w:rsid w:val="005A38AE"/>
    <w:rsid w:val="005C4DE3"/>
    <w:rsid w:val="00611BD2"/>
    <w:rsid w:val="00611EEA"/>
    <w:rsid w:val="00617F7E"/>
    <w:rsid w:val="00622665"/>
    <w:rsid w:val="00624FF7"/>
    <w:rsid w:val="006350B9"/>
    <w:rsid w:val="006405B4"/>
    <w:rsid w:val="00653E05"/>
    <w:rsid w:val="00673CFA"/>
    <w:rsid w:val="006A006E"/>
    <w:rsid w:val="006A45B7"/>
    <w:rsid w:val="006A725D"/>
    <w:rsid w:val="006B0B69"/>
    <w:rsid w:val="006C30E0"/>
    <w:rsid w:val="006C4C69"/>
    <w:rsid w:val="006D753F"/>
    <w:rsid w:val="006F2AC7"/>
    <w:rsid w:val="006F627E"/>
    <w:rsid w:val="00713586"/>
    <w:rsid w:val="00733752"/>
    <w:rsid w:val="00736CCB"/>
    <w:rsid w:val="007430FB"/>
    <w:rsid w:val="00753AF0"/>
    <w:rsid w:val="00756F30"/>
    <w:rsid w:val="00765559"/>
    <w:rsid w:val="007671E5"/>
    <w:rsid w:val="007900E3"/>
    <w:rsid w:val="007907D4"/>
    <w:rsid w:val="007A33D1"/>
    <w:rsid w:val="007A6609"/>
    <w:rsid w:val="007B39D0"/>
    <w:rsid w:val="007C56C8"/>
    <w:rsid w:val="007C6BE8"/>
    <w:rsid w:val="007E251A"/>
    <w:rsid w:val="007E3A39"/>
    <w:rsid w:val="007E7070"/>
    <w:rsid w:val="007F591B"/>
    <w:rsid w:val="00804D4C"/>
    <w:rsid w:val="00807F40"/>
    <w:rsid w:val="00817317"/>
    <w:rsid w:val="00826A55"/>
    <w:rsid w:val="008452EA"/>
    <w:rsid w:val="00846B94"/>
    <w:rsid w:val="00857C54"/>
    <w:rsid w:val="00862E1B"/>
    <w:rsid w:val="008841B8"/>
    <w:rsid w:val="0088583A"/>
    <w:rsid w:val="00893668"/>
    <w:rsid w:val="008940A5"/>
    <w:rsid w:val="00897008"/>
    <w:rsid w:val="008A1AF9"/>
    <w:rsid w:val="008A3BB1"/>
    <w:rsid w:val="008B1DA6"/>
    <w:rsid w:val="008B35D1"/>
    <w:rsid w:val="008C2D04"/>
    <w:rsid w:val="008C5D8F"/>
    <w:rsid w:val="008D1727"/>
    <w:rsid w:val="008D36EF"/>
    <w:rsid w:val="008F47EE"/>
    <w:rsid w:val="008F7E81"/>
    <w:rsid w:val="00901652"/>
    <w:rsid w:val="00905268"/>
    <w:rsid w:val="009074D7"/>
    <w:rsid w:val="009350F1"/>
    <w:rsid w:val="00936771"/>
    <w:rsid w:val="00936BB7"/>
    <w:rsid w:val="00940F82"/>
    <w:rsid w:val="00941F1A"/>
    <w:rsid w:val="00942645"/>
    <w:rsid w:val="00970B65"/>
    <w:rsid w:val="00971B5A"/>
    <w:rsid w:val="00973CF6"/>
    <w:rsid w:val="0099517D"/>
    <w:rsid w:val="009A2B00"/>
    <w:rsid w:val="009B2D7A"/>
    <w:rsid w:val="009C00E1"/>
    <w:rsid w:val="009C43B7"/>
    <w:rsid w:val="009D0C30"/>
    <w:rsid w:val="009D154B"/>
    <w:rsid w:val="009D2E98"/>
    <w:rsid w:val="00A00CF3"/>
    <w:rsid w:val="00A34734"/>
    <w:rsid w:val="00A42E2D"/>
    <w:rsid w:val="00A471BD"/>
    <w:rsid w:val="00A6097D"/>
    <w:rsid w:val="00A74AFD"/>
    <w:rsid w:val="00A9270C"/>
    <w:rsid w:val="00A9570D"/>
    <w:rsid w:val="00A958EA"/>
    <w:rsid w:val="00AB1F69"/>
    <w:rsid w:val="00AC5490"/>
    <w:rsid w:val="00AE1E00"/>
    <w:rsid w:val="00B00997"/>
    <w:rsid w:val="00B018AC"/>
    <w:rsid w:val="00B01AE3"/>
    <w:rsid w:val="00B038B3"/>
    <w:rsid w:val="00B03B61"/>
    <w:rsid w:val="00B30BCD"/>
    <w:rsid w:val="00B33AF5"/>
    <w:rsid w:val="00B34AFA"/>
    <w:rsid w:val="00B42105"/>
    <w:rsid w:val="00B47684"/>
    <w:rsid w:val="00B50EE4"/>
    <w:rsid w:val="00B53647"/>
    <w:rsid w:val="00B54CC2"/>
    <w:rsid w:val="00B641CF"/>
    <w:rsid w:val="00B7748D"/>
    <w:rsid w:val="00BC19CB"/>
    <w:rsid w:val="00BC6375"/>
    <w:rsid w:val="00BD5B7C"/>
    <w:rsid w:val="00BE150B"/>
    <w:rsid w:val="00C01A4E"/>
    <w:rsid w:val="00C03DCD"/>
    <w:rsid w:val="00C0762B"/>
    <w:rsid w:val="00C16DE6"/>
    <w:rsid w:val="00C23582"/>
    <w:rsid w:val="00C36B5C"/>
    <w:rsid w:val="00C52EEF"/>
    <w:rsid w:val="00C5757F"/>
    <w:rsid w:val="00C60C1C"/>
    <w:rsid w:val="00C649CC"/>
    <w:rsid w:val="00C73634"/>
    <w:rsid w:val="00C77B5B"/>
    <w:rsid w:val="00C80101"/>
    <w:rsid w:val="00CC3722"/>
    <w:rsid w:val="00CC3C17"/>
    <w:rsid w:val="00CE2CBA"/>
    <w:rsid w:val="00CF0586"/>
    <w:rsid w:val="00CF094D"/>
    <w:rsid w:val="00CF23D9"/>
    <w:rsid w:val="00D14D90"/>
    <w:rsid w:val="00D242CB"/>
    <w:rsid w:val="00D32D67"/>
    <w:rsid w:val="00D36D58"/>
    <w:rsid w:val="00D56503"/>
    <w:rsid w:val="00D56576"/>
    <w:rsid w:val="00D634DA"/>
    <w:rsid w:val="00D85ED0"/>
    <w:rsid w:val="00D87A8F"/>
    <w:rsid w:val="00DA1CA6"/>
    <w:rsid w:val="00DB7483"/>
    <w:rsid w:val="00DD3BC9"/>
    <w:rsid w:val="00DD6FB0"/>
    <w:rsid w:val="00E07452"/>
    <w:rsid w:val="00E177D2"/>
    <w:rsid w:val="00E44A27"/>
    <w:rsid w:val="00E52F49"/>
    <w:rsid w:val="00E5670D"/>
    <w:rsid w:val="00E57047"/>
    <w:rsid w:val="00E6531F"/>
    <w:rsid w:val="00E7013C"/>
    <w:rsid w:val="00E77ED1"/>
    <w:rsid w:val="00EB3DAE"/>
    <w:rsid w:val="00EC3945"/>
    <w:rsid w:val="00EC5530"/>
    <w:rsid w:val="00EC696C"/>
    <w:rsid w:val="00EE13C9"/>
    <w:rsid w:val="00F01681"/>
    <w:rsid w:val="00F22467"/>
    <w:rsid w:val="00F313EB"/>
    <w:rsid w:val="00F55C6B"/>
    <w:rsid w:val="00F63A20"/>
    <w:rsid w:val="00F64933"/>
    <w:rsid w:val="00F66A63"/>
    <w:rsid w:val="00F93C3D"/>
    <w:rsid w:val="00FA1EDF"/>
    <w:rsid w:val="00FA5856"/>
    <w:rsid w:val="00FA6420"/>
    <w:rsid w:val="00FC3E2B"/>
    <w:rsid w:val="00FD5D34"/>
    <w:rsid w:val="00FD7943"/>
    <w:rsid w:val="00FE3320"/>
    <w:rsid w:val="00FE6A22"/>
    <w:rsid w:val="05F54265"/>
    <w:rsid w:val="076072C9"/>
    <w:rsid w:val="07DF7E70"/>
    <w:rsid w:val="0C6234CF"/>
    <w:rsid w:val="1384217A"/>
    <w:rsid w:val="14A80541"/>
    <w:rsid w:val="1AB91153"/>
    <w:rsid w:val="2FC55B9D"/>
    <w:rsid w:val="32E50E7C"/>
    <w:rsid w:val="37FFF0C1"/>
    <w:rsid w:val="39316051"/>
    <w:rsid w:val="3C2E0B54"/>
    <w:rsid w:val="3EC3599D"/>
    <w:rsid w:val="404546BE"/>
    <w:rsid w:val="471C3E9C"/>
    <w:rsid w:val="48114B69"/>
    <w:rsid w:val="57160908"/>
    <w:rsid w:val="5AB04DB2"/>
    <w:rsid w:val="66BF1AE2"/>
    <w:rsid w:val="6C831F47"/>
    <w:rsid w:val="6EDB36A4"/>
    <w:rsid w:val="705A4A07"/>
    <w:rsid w:val="75E27A20"/>
    <w:rsid w:val="77BFC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80" w:lineRule="exact"/>
      <w:ind w:firstLine="641"/>
      <w:jc w:val="both"/>
    </w:pPr>
    <w:rPr>
      <w:rFonts w:ascii="仿宋_GB2312" w:eastAsia="仿宋_GB2312"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仿宋_GB2312" w:eastAsia="仿宋_GB2312"/>
      <w:sz w:val="18"/>
      <w:szCs w:val="18"/>
    </w:rPr>
  </w:style>
  <w:style w:type="character" w:customStyle="1" w:styleId="Char0">
    <w:name w:val="页脚 Char"/>
    <w:basedOn w:val="a0"/>
    <w:link w:val="a4"/>
    <w:uiPriority w:val="99"/>
    <w:qFormat/>
    <w:rPr>
      <w:rFonts w:ascii="仿宋_GB2312" w:eastAsia="仿宋_GB2312"/>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仿宋_GB2312"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80" w:lineRule="exact"/>
      <w:ind w:firstLine="641"/>
      <w:jc w:val="both"/>
    </w:pPr>
    <w:rPr>
      <w:rFonts w:ascii="仿宋_GB2312" w:eastAsia="仿宋_GB2312"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仿宋_GB2312" w:eastAsia="仿宋_GB2312"/>
      <w:sz w:val="18"/>
      <w:szCs w:val="18"/>
    </w:rPr>
  </w:style>
  <w:style w:type="character" w:customStyle="1" w:styleId="Char0">
    <w:name w:val="页脚 Char"/>
    <w:basedOn w:val="a0"/>
    <w:link w:val="a4"/>
    <w:uiPriority w:val="99"/>
    <w:qFormat/>
    <w:rPr>
      <w:rFonts w:ascii="仿宋_GB2312" w:eastAsia="仿宋_GB2312"/>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仿宋_GB2312"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17</Pages>
  <Words>1410</Words>
  <Characters>8041</Characters>
  <Application>Microsoft Office Word</Application>
  <DocSecurity>0</DocSecurity>
  <Lines>67</Lines>
  <Paragraphs>18</Paragraphs>
  <ScaleCrop>false</ScaleCrop>
  <Company>Microsoft</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金晓萍</dc:creator>
  <cp:lastModifiedBy>刘梦月</cp:lastModifiedBy>
  <cp:revision>19</cp:revision>
  <cp:lastPrinted>2022-09-09T02:24:00Z</cp:lastPrinted>
  <dcterms:created xsi:type="dcterms:W3CDTF">2022-09-03T03:24:00Z</dcterms:created>
  <dcterms:modified xsi:type="dcterms:W3CDTF">2022-09-26T08:30:00Z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9A777B85920F494E9C45EC4C27555899</vt:lpwstr>
  </property>
</Properties>
</file>