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7F1A">
      <w:pPr>
        <w:spacing w:line="220" w:lineRule="atLeast"/>
        <w:jc w:val="center"/>
        <w:rPr>
          <w:rFonts w:ascii="Times" w:hAnsi="Times" w:hint="eastAsia"/>
          <w:b/>
          <w:color w:val="FF0000"/>
          <w:spacing w:val="80"/>
          <w:w w:val="90"/>
          <w:sz w:val="96"/>
        </w:rPr>
      </w:pPr>
      <w:r>
        <w:rPr>
          <w:rFonts w:ascii="Times" w:hAnsi="Times" w:hint="eastAsia"/>
          <w:b/>
          <w:color w:val="FF0000"/>
          <w:spacing w:val="80"/>
          <w:w w:val="90"/>
          <w:sz w:val="96"/>
        </w:rPr>
        <w:t>嘉兴市统计局</w:t>
      </w:r>
      <w:r>
        <w:rPr>
          <w:rFonts w:ascii="Times" w:hAnsi="Times" w:hint="eastAsia"/>
          <w:b/>
          <w:color w:val="FF0000"/>
          <w:spacing w:val="80"/>
          <w:w w:val="90"/>
          <w:sz w:val="96"/>
        </w:rPr>
        <w:t>(</w:t>
      </w:r>
      <w:r>
        <w:rPr>
          <w:rFonts w:ascii="Times" w:hAnsi="Times" w:hint="eastAsia"/>
          <w:b/>
          <w:color w:val="000000"/>
          <w:spacing w:val="80"/>
          <w:w w:val="90"/>
          <w:sz w:val="96"/>
        </w:rPr>
        <w:t>函</w:t>
      </w:r>
      <w:r>
        <w:rPr>
          <w:rFonts w:ascii="Times" w:hAnsi="Times" w:hint="eastAsia"/>
          <w:b/>
          <w:color w:val="FF0000"/>
          <w:spacing w:val="80"/>
          <w:w w:val="90"/>
          <w:sz w:val="96"/>
        </w:rPr>
        <w:t>)</w:t>
      </w:r>
      <w:bookmarkStart w:id="0" w:name="_GoBack"/>
      <w:bookmarkEnd w:id="0"/>
    </w:p>
    <w:p w:rsidR="00000000" w:rsidRDefault="00607F1A">
      <w:pPr>
        <w:spacing w:line="360" w:lineRule="exact"/>
        <w:jc w:val="center"/>
        <w:rPr>
          <w:rFonts w:ascii="仿宋_GB2312" w:eastAsia="仿宋_GB2312" w:hint="eastAsia"/>
          <w:caps/>
          <w:sz w:val="28"/>
        </w:rPr>
      </w:pPr>
      <w:r>
        <w:rPr>
          <w:rFonts w:ascii="仿宋_GB2312" w:eastAsia="仿宋_GB2312" w:hint="eastAsia"/>
          <w:spacing w:val="6"/>
          <w:sz w:val="32"/>
          <w:szCs w:val="32"/>
        </w:rPr>
        <w:t>嘉统</w:t>
      </w:r>
      <w:r>
        <w:rPr>
          <w:rFonts w:ascii="仿宋_GB2312" w:eastAsia="仿宋_GB2312" w:hint="eastAsia"/>
          <w:spacing w:val="6"/>
          <w:sz w:val="32"/>
          <w:szCs w:val="32"/>
        </w:rPr>
        <w:t>函</w:t>
      </w:r>
      <w:r>
        <w:rPr>
          <w:rFonts w:ascii="仿宋_GB2312" w:eastAsia="仿宋_GB2312" w:hint="eastAsia"/>
          <w:spacing w:val="6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pacing w:val="6"/>
          <w:sz w:val="32"/>
          <w:szCs w:val="32"/>
        </w:rPr>
        <w:t>〕</w:t>
      </w:r>
      <w:r>
        <w:rPr>
          <w:rFonts w:ascii="仿宋_GB2312" w:eastAsia="仿宋_GB2312" w:hint="eastAsia"/>
          <w:spacing w:val="6"/>
          <w:sz w:val="32"/>
          <w:szCs w:val="32"/>
        </w:rPr>
        <w:t>11</w:t>
      </w:r>
      <w:r>
        <w:rPr>
          <w:rFonts w:ascii="仿宋_GB2312" w:eastAsia="仿宋_GB2312" w:hint="eastAsia"/>
          <w:spacing w:val="6"/>
          <w:sz w:val="32"/>
          <w:szCs w:val="32"/>
        </w:rPr>
        <w:t>号</w:t>
      </w:r>
    </w:p>
    <w:p w:rsidR="00000000" w:rsidRDefault="00607F1A">
      <w:pPr>
        <w:spacing w:line="600" w:lineRule="exact"/>
        <w:jc w:val="center"/>
        <w:rPr>
          <w:rFonts w:ascii="方正小标宋简体" w:eastAsia="方正小标宋简体" w:hint="eastAsia"/>
          <w:spacing w:val="6"/>
          <w:sz w:val="36"/>
        </w:rPr>
      </w:pPr>
      <w:r>
        <w:rPr>
          <w:rFonts w:ascii="宋体" w:hint="eastAsia"/>
          <w:b/>
          <w:bCs/>
          <w:caps/>
          <w:color w:val="FF0000"/>
          <w:sz w:val="72"/>
        </w:rPr>
        <w:t>————————————</w:t>
      </w:r>
    </w:p>
    <w:p w:rsidR="00000000" w:rsidRDefault="00607F1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1" w:name="Content"/>
      <w:bookmarkStart w:id="2" w:name="quanwen"/>
      <w:bookmarkEnd w:id="1"/>
      <w:r>
        <w:rPr>
          <w:rFonts w:ascii="方正小标宋简体" w:eastAsia="方正小标宋简体" w:hint="eastAsia"/>
          <w:sz w:val="44"/>
          <w:szCs w:val="44"/>
        </w:rPr>
        <w:t>嘉兴市统计局</w:t>
      </w:r>
      <w:r>
        <w:rPr>
          <w:rFonts w:ascii="方正小标宋简体" w:eastAsia="方正小标宋简体" w:hint="eastAsia"/>
          <w:sz w:val="44"/>
          <w:szCs w:val="44"/>
        </w:rPr>
        <w:t>对</w:t>
      </w:r>
    </w:p>
    <w:p w:rsidR="00000000" w:rsidRDefault="00607F1A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市九届人大一次会议第</w:t>
      </w:r>
      <w:r>
        <w:rPr>
          <w:rFonts w:ascii="方正小标宋简体" w:eastAsia="方正小标宋简体" w:hint="eastAsia"/>
          <w:sz w:val="44"/>
          <w:szCs w:val="44"/>
        </w:rPr>
        <w:t>236</w:t>
      </w:r>
      <w:r>
        <w:rPr>
          <w:rFonts w:ascii="方正小标宋简体" w:eastAsia="方正小标宋简体" w:hint="eastAsia"/>
          <w:sz w:val="44"/>
          <w:szCs w:val="44"/>
        </w:rPr>
        <w:t>号</w:t>
      </w:r>
      <w:r>
        <w:rPr>
          <w:rFonts w:ascii="方正小标宋简体" w:eastAsia="方正小标宋简体" w:hint="eastAsia"/>
          <w:sz w:val="44"/>
          <w:szCs w:val="44"/>
        </w:rPr>
        <w:t>建议</w:t>
      </w:r>
      <w:r>
        <w:rPr>
          <w:rFonts w:ascii="方正小标宋简体" w:eastAsia="方正小标宋简体" w:hint="eastAsia"/>
          <w:sz w:val="44"/>
          <w:szCs w:val="44"/>
        </w:rPr>
        <w:t>的答复</w:t>
      </w:r>
    </w:p>
    <w:p w:rsidR="00000000" w:rsidRDefault="00607F1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王艳涛代表：</w:t>
      </w:r>
    </w:p>
    <w:p w:rsidR="00000000" w:rsidRDefault="00607F1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在市九届人大一次会议上提出的《关于要求将生产生物柴油作为能源加工、转换统计的建议》收悉，首先非常感谢您对嘉兴统计工作的关心和支持。我局作为主办单位，高度重视，明确一名局领导和责任处室具体负责办理工作。同时，在充分学习调研的基础上，与会办单位（市发改委）加强沟通交流，认真研究落实建议办理工作，现答复如下：</w:t>
      </w:r>
    </w:p>
    <w:p w:rsidR="00000000" w:rsidRDefault="00607F1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建议中提出，要求将生产生物柴油作为能源加工、转换统计。</w:t>
      </w:r>
      <w:r>
        <w:rPr>
          <w:rFonts w:ascii="仿宋_GB2312" w:eastAsia="仿宋_GB2312" w:hint="eastAsia"/>
          <w:sz w:val="32"/>
          <w:szCs w:val="32"/>
        </w:rPr>
        <w:t>当前，我国能源统计制度规定“能源加工转换是指为了特定的用途，将一种能源（一般为一次能源），经过一定的工艺，加工或转换成另外一种能源（二次能源）”的统计方法，能源加工是能源物理形态的变化，能源转换是能源化学属性和能量形态的变化，与国际上关于能源加工转换的概念是一致的。因此废弃植物油脂作为原料生产生物柴油的这一过程，不作为能源加工或转换进行计算，其消费量只计算加工过程中的损失部分（如果没有损失，则消费量为“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”）。</w:t>
      </w:r>
    </w:p>
    <w:p w:rsidR="00000000" w:rsidRDefault="00607F1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生物柴油对助力全市能耗“双控”和“双碳”工作具有积极</w:t>
      </w:r>
      <w:r>
        <w:rPr>
          <w:rFonts w:ascii="仿宋_GB2312" w:eastAsia="仿宋_GB2312" w:hint="eastAsia"/>
          <w:sz w:val="32"/>
          <w:szCs w:val="32"/>
        </w:rPr>
        <w:lastRenderedPageBreak/>
        <w:t>的作用。经向省统计局汇报，并与市发改委会商，</w:t>
      </w:r>
      <w:r>
        <w:rPr>
          <w:rFonts w:ascii="仿宋_GB2312" w:eastAsia="仿宋_GB2312" w:hint="eastAsia"/>
          <w:sz w:val="32"/>
          <w:szCs w:val="32"/>
        </w:rPr>
        <w:t>目前在对企业进行综合能源消费评价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，可以按照以下三个原则进行测算。一是将损失量上报到能源消费量中，二是既不填报废弃动植物油脂的消费量也不填报生物柴油的产出量，三是有自产自用的生物柴油，不报产量也不上报消费量。</w:t>
      </w:r>
    </w:p>
    <w:p w:rsidR="00000000" w:rsidRDefault="00607F1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从能源加工转换角度看，生物柴油的生产不符合现行制度要求，但考虑到企业生物柴油的生产工艺、产品特征，我们</w:t>
      </w:r>
      <w:r>
        <w:rPr>
          <w:rFonts w:ascii="仿宋_GB2312" w:eastAsia="仿宋_GB2312" w:hint="eastAsia"/>
          <w:sz w:val="32"/>
          <w:szCs w:val="32"/>
        </w:rPr>
        <w:t>已会</w:t>
      </w:r>
      <w:r>
        <w:rPr>
          <w:rFonts w:ascii="仿宋_GB2312" w:eastAsia="仿宋_GB2312" w:hint="eastAsia"/>
          <w:sz w:val="32"/>
          <w:szCs w:val="32"/>
        </w:rPr>
        <w:t>同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发改委</w:t>
      </w:r>
      <w:r>
        <w:rPr>
          <w:rFonts w:ascii="仿宋_GB2312" w:eastAsia="仿宋_GB2312" w:hint="eastAsia"/>
          <w:sz w:val="32"/>
          <w:szCs w:val="32"/>
        </w:rPr>
        <w:t>形成《关于生产生物柴油统计方法的建议》上报</w:t>
      </w:r>
      <w:r>
        <w:rPr>
          <w:rFonts w:ascii="仿宋_GB2312" w:eastAsia="仿宋_GB2312" w:hint="eastAsia"/>
          <w:sz w:val="32"/>
          <w:szCs w:val="32"/>
        </w:rPr>
        <w:t>省能源局和省统计局</w:t>
      </w:r>
      <w:r>
        <w:rPr>
          <w:rFonts w:ascii="仿宋_GB2312" w:eastAsia="仿宋_GB2312" w:hint="eastAsia"/>
          <w:sz w:val="32"/>
          <w:szCs w:val="32"/>
        </w:rPr>
        <w:t>，建议</w:t>
      </w:r>
      <w:r>
        <w:rPr>
          <w:rFonts w:ascii="仿宋_GB2312" w:eastAsia="仿宋_GB2312" w:hint="eastAsia"/>
          <w:sz w:val="32"/>
          <w:szCs w:val="32"/>
        </w:rPr>
        <w:t>可以将生物柴油等类似新能源生产项目作为能源回收利用统计试点，助力全市能耗“双控”和“双碳”工作。</w:t>
      </w:r>
    </w:p>
    <w:p w:rsidR="00000000" w:rsidRDefault="00607F1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以上意见，仅供参考。再</w:t>
      </w:r>
      <w:r>
        <w:rPr>
          <w:rFonts w:ascii="仿宋_GB2312" w:eastAsia="仿宋_GB2312" w:hint="eastAsia"/>
          <w:sz w:val="32"/>
          <w:szCs w:val="32"/>
        </w:rPr>
        <w:t>次感谢</w:t>
      </w:r>
      <w:r>
        <w:rPr>
          <w:rFonts w:ascii="仿宋_GB2312" w:eastAsia="仿宋_GB2312" w:hint="eastAsia"/>
          <w:sz w:val="32"/>
          <w:szCs w:val="32"/>
        </w:rPr>
        <w:t>您</w:t>
      </w:r>
      <w:r>
        <w:rPr>
          <w:rFonts w:ascii="仿宋_GB2312" w:eastAsia="仿宋_GB2312" w:hint="eastAsia"/>
          <w:sz w:val="32"/>
          <w:szCs w:val="32"/>
        </w:rPr>
        <w:t>对能源统计工作的关心和支持，并衷心希望在今后工作中继续给我们提出宝贵的意见和建议。</w:t>
      </w:r>
    </w:p>
    <w:p w:rsidR="00000000" w:rsidRDefault="00607F1A">
      <w:pPr>
        <w:spacing w:line="54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联系处室：工业投资统计处，联系人：白银芬，联系电话：</w:t>
      </w:r>
      <w:r>
        <w:rPr>
          <w:rFonts w:ascii="仿宋_GB2312" w:eastAsia="仿宋_GB2312" w:hint="eastAsia"/>
          <w:sz w:val="32"/>
          <w:szCs w:val="32"/>
        </w:rPr>
        <w:t>82521</w:t>
      </w:r>
      <w:r>
        <w:rPr>
          <w:rFonts w:ascii="仿宋_GB2312" w:eastAsia="仿宋_GB2312"/>
          <w:sz w:val="32"/>
          <w:szCs w:val="32"/>
        </w:rPr>
        <w:t>603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758389789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000000" w:rsidRDefault="00607F1A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嘉兴市统计局</w:t>
      </w:r>
    </w:p>
    <w:p w:rsidR="00000000" w:rsidRDefault="00607F1A">
      <w:pPr>
        <w:spacing w:line="560" w:lineRule="exact"/>
        <w:ind w:firstLine="646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607F1A">
      <w:pPr>
        <w:spacing w:afterLines="100" w:after="312" w:line="480" w:lineRule="exact"/>
        <w:ind w:firstLine="646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7"/>
      </w:tblGrid>
      <w:tr w:rsidR="00000000"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2"/>
          <w:p w:rsidR="00000000" w:rsidRDefault="00607F1A">
            <w:pPr>
              <w:spacing w:line="580" w:lineRule="exact"/>
              <w:ind w:firstLineChars="100" w:firstLine="312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30"/>
                <w:szCs w:val="30"/>
              </w:rPr>
              <w:t>嘉兴市统计局办公室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</w:t>
            </w:r>
            <w:bookmarkStart w:id="3" w:name="印发日期"/>
            <w:bookmarkEnd w:id="3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6"/>
                <w:sz w:val="30"/>
                <w:szCs w:val="30"/>
              </w:rPr>
              <w:t>印发</w:t>
            </w:r>
          </w:p>
        </w:tc>
      </w:tr>
    </w:tbl>
    <w:p w:rsidR="00607F1A" w:rsidRDefault="00607F1A"/>
    <w:sectPr w:rsidR="00607F1A">
      <w:footerReference w:type="even" r:id="rId6"/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A" w:rsidRDefault="00607F1A">
      <w:r>
        <w:separator/>
      </w:r>
    </w:p>
  </w:endnote>
  <w:endnote w:type="continuationSeparator" w:id="0">
    <w:p w:rsidR="00607F1A" w:rsidRDefault="006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7F1A">
    <w:pPr>
      <w:pStyle w:val="a3"/>
    </w:pPr>
    <w:r>
      <w:t xml:space="preserve">  </w:t>
    </w:r>
    <w:r>
      <w:rPr>
        <w:rFonts w:ascii="隶书" w:eastAsia="隶书" w:hint="eastAsia"/>
        <w:kern w:val="2"/>
        <w:sz w:val="28"/>
        <w:szCs w:val="20"/>
      </w:rPr>
      <w:t>－</w:t>
    </w:r>
    <w:r>
      <w:rPr>
        <w:rFonts w:ascii="隶书" w:eastAsia="隶书" w:hint="eastAsia"/>
        <w:kern w:val="2"/>
        <w:sz w:val="28"/>
        <w:szCs w:val="20"/>
      </w:rPr>
      <w:t xml:space="preserve"> </w:t>
    </w:r>
    <w:r>
      <w:rPr>
        <w:rFonts w:ascii="隶书" w:eastAsia="隶书"/>
        <w:kern w:val="2"/>
        <w:sz w:val="28"/>
        <w:szCs w:val="20"/>
      </w:rPr>
      <w:fldChar w:fldCharType="begin"/>
    </w:r>
    <w:r>
      <w:rPr>
        <w:rFonts w:ascii="隶书" w:eastAsia="隶书"/>
        <w:kern w:val="2"/>
        <w:sz w:val="28"/>
        <w:szCs w:val="20"/>
      </w:rPr>
      <w:instrText xml:space="preserve">PAGE  </w:instrText>
    </w:r>
    <w:r>
      <w:rPr>
        <w:rFonts w:ascii="隶书" w:eastAsia="隶书"/>
        <w:kern w:val="2"/>
        <w:sz w:val="28"/>
        <w:szCs w:val="20"/>
      </w:rPr>
      <w:fldChar w:fldCharType="separate"/>
    </w:r>
    <w:r>
      <w:rPr>
        <w:rFonts w:ascii="隶书" w:eastAsia="隶书"/>
        <w:kern w:val="2"/>
        <w:sz w:val="28"/>
        <w:szCs w:val="20"/>
      </w:rPr>
      <w:t>2</w:t>
    </w:r>
    <w:r>
      <w:rPr>
        <w:rFonts w:ascii="隶书" w:eastAsia="隶书"/>
        <w:kern w:val="2"/>
        <w:sz w:val="28"/>
        <w:szCs w:val="20"/>
      </w:rPr>
      <w:fldChar w:fldCharType="end"/>
    </w:r>
    <w:r>
      <w:rPr>
        <w:rFonts w:ascii="隶书" w:eastAsia="隶书" w:hint="eastAsia"/>
        <w:kern w:val="2"/>
        <w:sz w:val="28"/>
        <w:szCs w:val="20"/>
      </w:rPr>
      <w:t xml:space="preserve"> </w:t>
    </w:r>
    <w:r>
      <w:rPr>
        <w:rFonts w:ascii="隶书" w:eastAsia="隶书" w:hint="eastAsia"/>
        <w:kern w:val="2"/>
        <w:sz w:val="28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7F1A">
    <w:pPr>
      <w:pStyle w:val="a3"/>
      <w:jc w:val="center"/>
    </w:pPr>
    <w:r>
      <w:rPr>
        <w:rFonts w:ascii="隶书" w:eastAsia="隶书" w:hint="eastAsia"/>
        <w:kern w:val="2"/>
        <w:sz w:val="28"/>
        <w:szCs w:val="20"/>
      </w:rPr>
      <w:t>－</w:t>
    </w:r>
    <w:r>
      <w:rPr>
        <w:rFonts w:ascii="隶书" w:eastAsia="隶书" w:hint="eastAsia"/>
        <w:kern w:val="2"/>
        <w:sz w:val="28"/>
        <w:szCs w:val="20"/>
      </w:rPr>
      <w:t xml:space="preserve"> </w:t>
    </w:r>
    <w:r>
      <w:rPr>
        <w:rFonts w:ascii="隶书" w:eastAsia="隶书"/>
        <w:kern w:val="2"/>
        <w:sz w:val="28"/>
        <w:szCs w:val="20"/>
      </w:rPr>
      <w:fldChar w:fldCharType="begin"/>
    </w:r>
    <w:r>
      <w:rPr>
        <w:rFonts w:ascii="隶书" w:eastAsia="隶书"/>
        <w:kern w:val="2"/>
        <w:sz w:val="28"/>
        <w:szCs w:val="20"/>
      </w:rPr>
      <w:instrText xml:space="preserve">PAGE  </w:instrText>
    </w:r>
    <w:r>
      <w:rPr>
        <w:rFonts w:ascii="隶书" w:eastAsia="隶书"/>
        <w:kern w:val="2"/>
        <w:sz w:val="28"/>
        <w:szCs w:val="20"/>
      </w:rPr>
      <w:fldChar w:fldCharType="separate"/>
    </w:r>
    <w:r w:rsidR="00DB086D">
      <w:rPr>
        <w:rFonts w:ascii="隶书" w:eastAsia="隶书"/>
        <w:noProof/>
        <w:kern w:val="2"/>
        <w:sz w:val="28"/>
        <w:szCs w:val="20"/>
      </w:rPr>
      <w:t>2</w:t>
    </w:r>
    <w:r>
      <w:rPr>
        <w:rFonts w:ascii="隶书" w:eastAsia="隶书"/>
        <w:kern w:val="2"/>
        <w:sz w:val="28"/>
        <w:szCs w:val="20"/>
      </w:rPr>
      <w:fldChar w:fldCharType="end"/>
    </w:r>
    <w:r>
      <w:rPr>
        <w:rFonts w:ascii="隶书" w:eastAsia="隶书" w:hint="eastAsia"/>
        <w:kern w:val="2"/>
        <w:sz w:val="28"/>
        <w:szCs w:val="20"/>
      </w:rPr>
      <w:t xml:space="preserve"> </w:t>
    </w:r>
    <w:r>
      <w:rPr>
        <w:rFonts w:ascii="隶书" w:eastAsia="隶书" w:hint="eastAsia"/>
        <w:kern w:val="2"/>
        <w:sz w:val="28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A" w:rsidRDefault="00607F1A">
      <w:r>
        <w:separator/>
      </w:r>
    </w:p>
  </w:footnote>
  <w:footnote w:type="continuationSeparator" w:id="0">
    <w:p w:rsidR="00607F1A" w:rsidRDefault="0060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67B584F"/>
    <w:rsid w:val="773F6358"/>
    <w:rsid w:val="D67B584F"/>
    <w:rsid w:val="FCF8B7FE"/>
    <w:rsid w:val="000A2F5D"/>
    <w:rsid w:val="00607F1A"/>
    <w:rsid w:val="00D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64779"/>
  <w15:chartTrackingRefBased/>
  <w15:docId w15:val="{0792CD2C-0423-4C78-B88C-D1858093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白银芬(baiyf)</dc:creator>
  <cp:keywords/>
  <cp:lastModifiedBy>许睿阳(承办)</cp:lastModifiedBy>
  <cp:revision>3</cp:revision>
  <dcterms:created xsi:type="dcterms:W3CDTF">2022-12-21T06:12:00Z</dcterms:created>
  <dcterms:modified xsi:type="dcterms:W3CDTF">2022-12-21T06:12:00Z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