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_GBK"/>
          <w:sz w:val="36"/>
        </w:rPr>
      </w:pPr>
      <w:r>
        <w:rPr>
          <w:rFonts w:ascii="Times New Roman" w:hAnsi="Times New Roman" w:eastAsia="方正小标宋_GBK"/>
          <w:sz w:val="36"/>
        </w:rPr>
        <w:t>嘉兴市集中式生活饮用水水源地水质状况报告</w:t>
      </w:r>
    </w:p>
    <w:p>
      <w:pPr>
        <w:adjustRightInd w:val="0"/>
        <w:snapToGrid w:val="0"/>
        <w:spacing w:before="249" w:beforeLines="80"/>
        <w:jc w:val="center"/>
        <w:rPr>
          <w:rFonts w:ascii="Times New Roman" w:hAnsi="Times New Roman" w:eastAsia="楷体_GB2312"/>
          <w:sz w:val="32"/>
        </w:rPr>
      </w:pPr>
      <w:r>
        <w:rPr>
          <w:rFonts w:ascii="Times New Roman" w:hAnsi="Times New Roman" w:eastAsia="楷体_GB2312"/>
          <w:sz w:val="32"/>
        </w:rPr>
        <w:t>（20</w:t>
      </w:r>
      <w:r>
        <w:rPr>
          <w:rFonts w:hint="eastAsia" w:ascii="Times New Roman" w:hAnsi="Times New Roman" w:eastAsia="楷体_GB2312"/>
          <w:sz w:val="32"/>
        </w:rPr>
        <w:t>2</w:t>
      </w:r>
      <w:r>
        <w:rPr>
          <w:rFonts w:hint="eastAsia" w:ascii="Times New Roman" w:hAnsi="Times New Roman" w:eastAsia="楷体_GB2312"/>
          <w:sz w:val="32"/>
          <w:lang w:val="en-US" w:eastAsia="zh-CN"/>
        </w:rPr>
        <w:t>2</w:t>
      </w:r>
      <w:r>
        <w:rPr>
          <w:rFonts w:ascii="Times New Roman" w:hAnsi="Times New Roman" w:eastAsia="楷体_GB2312"/>
          <w:sz w:val="32"/>
        </w:rPr>
        <w:t>年</w:t>
      </w:r>
      <w:r>
        <w:rPr>
          <w:rFonts w:hint="eastAsia" w:eastAsia="楷体_GB2312"/>
          <w:color w:val="000000"/>
          <w:sz w:val="32"/>
          <w:lang w:val="en-US" w:eastAsia="zh-CN"/>
        </w:rPr>
        <w:t>6</w:t>
      </w:r>
      <w:r>
        <w:rPr>
          <w:rFonts w:ascii="Times New Roman" w:hAnsi="Times New Roman" w:eastAsia="楷体_GB2312"/>
          <w:sz w:val="32"/>
        </w:rPr>
        <w:t>月）</w:t>
      </w:r>
    </w:p>
    <w:p>
      <w:pPr>
        <w:adjustRightInd w:val="0"/>
        <w:snapToGrid w:val="0"/>
        <w:spacing w:line="408" w:lineRule="auto"/>
        <w:jc w:val="left"/>
        <w:rPr>
          <w:rFonts w:ascii="Times New Roman" w:hAnsi="Times New Roman" w:eastAsia="黑体"/>
          <w:sz w:val="32"/>
        </w:rPr>
      </w:pP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一、监测情况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20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hint="eastAsia" w:ascii="Times New Roman" w:hAnsi="Times New Roman" w:eastAsia="仿宋_GB2312"/>
          <w:sz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</w:rPr>
        <w:t>年</w:t>
      </w:r>
      <w:r>
        <w:rPr>
          <w:rFonts w:hint="eastAsia" w:eastAsia="仿宋_GB2312"/>
          <w:color w:val="000000"/>
          <w:sz w:val="30"/>
          <w:lang w:val="en-US" w:eastAsia="zh-CN"/>
        </w:rPr>
        <w:t>6</w:t>
      </w:r>
      <w:r>
        <w:rPr>
          <w:rFonts w:ascii="Times New Roman" w:hAnsi="Times New Roman" w:eastAsia="仿宋_GB2312"/>
          <w:sz w:val="30"/>
        </w:rPr>
        <w:t>月，嘉兴市</w:t>
      </w:r>
      <w:r>
        <w:rPr>
          <w:rFonts w:hint="eastAsia" w:ascii="Times New Roman" w:hAnsi="Times New Roman" w:eastAsia="仿宋_GB2312"/>
          <w:sz w:val="30"/>
        </w:rPr>
        <w:t>地级城市</w:t>
      </w:r>
      <w:r>
        <w:rPr>
          <w:rFonts w:ascii="Times New Roman" w:hAnsi="Times New Roman" w:eastAsia="仿宋_GB2312"/>
          <w:sz w:val="30"/>
        </w:rPr>
        <w:t>共监测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ascii="Times New Roman" w:hAnsi="Times New Roman" w:eastAsia="仿宋_GB2312"/>
          <w:sz w:val="30"/>
        </w:rPr>
        <w:t>个集中式生活饮用水水源地，均为河流型地表水水源。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根据监测频次要求，嘉兴市区2个水源地每月监测62项，包括《地表水环境质量标准》（GB3838-2002）表1的基本项目、表2的补充项目（5项）和表3的优选特定项目（33项）。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二、评价标准及方法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根据《地表水环境质量标准》（GB3838-2002）进行评价。基本项目按照《地表水环境质量评价方法（试行）》（环办〔2011〕22号）进行评价，</w:t>
      </w:r>
      <w:r>
        <w:rPr>
          <w:rFonts w:ascii="Times New Roman" w:hAnsi="Times New Roman" w:eastAsia="仿宋_GB2312"/>
          <w:spacing w:val="-10"/>
          <w:sz w:val="30"/>
        </w:rPr>
        <w:t>补充项目、特定项目采用</w:t>
      </w:r>
      <w:r>
        <w:rPr>
          <w:rFonts w:ascii="Times New Roman" w:hAnsi="Times New Roman" w:eastAsia="仿宋_GB2312"/>
          <w:sz w:val="30"/>
        </w:rPr>
        <w:t>单因子评价法进行评价。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三、评价结果</w:t>
      </w:r>
    </w:p>
    <w:p>
      <w:pPr>
        <w:adjustRightInd w:val="0"/>
        <w:snapToGrid w:val="0"/>
        <w:spacing w:line="362" w:lineRule="auto"/>
        <w:ind w:left="210" w:leftChars="100"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20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hint="eastAsia" w:ascii="Times New Roman" w:hAnsi="Times New Roman" w:eastAsia="仿宋_GB2312"/>
          <w:sz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</w:rPr>
        <w:t>年</w:t>
      </w:r>
      <w:r>
        <w:rPr>
          <w:rFonts w:hint="eastAsia" w:eastAsia="仿宋_GB2312"/>
          <w:color w:val="000000"/>
          <w:sz w:val="30"/>
          <w:lang w:val="en-US" w:eastAsia="zh-CN"/>
        </w:rPr>
        <w:t>6</w:t>
      </w:r>
      <w:r>
        <w:rPr>
          <w:rFonts w:ascii="Times New Roman" w:hAnsi="Times New Roman" w:eastAsia="仿宋_GB2312"/>
          <w:sz w:val="30"/>
        </w:rPr>
        <w:t>月，</w:t>
      </w:r>
      <w:r>
        <w:rPr>
          <w:rFonts w:hint="eastAsia" w:ascii="Times New Roman" w:hAnsi="Times New Roman" w:eastAsia="仿宋_GB2312"/>
          <w:sz w:val="30"/>
        </w:rPr>
        <w:t>监测的2个集中式饮用水水源</w:t>
      </w:r>
      <w:r>
        <w:rPr>
          <w:rFonts w:hint="eastAsia" w:ascii="Times New Roman" w:hAnsi="Times New Roman" w:eastAsia="仿宋_GB2312"/>
          <w:sz w:val="30"/>
          <w:lang w:eastAsia="zh-CN"/>
        </w:rPr>
        <w:t>地</w:t>
      </w:r>
      <w:r>
        <w:rPr>
          <w:rFonts w:hint="eastAsia" w:ascii="Times New Roman" w:hAnsi="Times New Roman" w:eastAsia="仿宋_GB2312"/>
          <w:sz w:val="30"/>
        </w:rPr>
        <w:t>均达标（达到Ⅲ类标准）。嘉兴市区水源地水质达标率为100%（取水总量</w:t>
      </w:r>
      <w:r>
        <w:rPr>
          <w:rFonts w:hint="eastAsia" w:eastAsia="仿宋_GB2312"/>
          <w:sz w:val="30"/>
          <w:lang w:val="en-US" w:eastAsia="zh-CN"/>
        </w:rPr>
        <w:t>1353.1905</w:t>
      </w:r>
      <w:r>
        <w:rPr>
          <w:rFonts w:hint="eastAsia" w:ascii="Times New Roman" w:hAnsi="Times New Roman" w:eastAsia="仿宋_GB2312"/>
          <w:sz w:val="30"/>
        </w:rPr>
        <w:t>万吨，其中达标水量</w:t>
      </w:r>
      <w:r>
        <w:rPr>
          <w:rFonts w:hint="eastAsia" w:eastAsia="仿宋_GB2312"/>
          <w:sz w:val="30"/>
          <w:lang w:val="en-US" w:eastAsia="zh-CN"/>
        </w:rPr>
        <w:t>1353.1905</w:t>
      </w:r>
      <w:r>
        <w:rPr>
          <w:rFonts w:hint="eastAsia" w:ascii="Times New Roman" w:hAnsi="Times New Roman" w:eastAsia="仿宋_GB2312"/>
          <w:sz w:val="30"/>
        </w:rPr>
        <w:t>万吨）。</w:t>
      </w:r>
      <w:r>
        <w:rPr>
          <w:rFonts w:ascii="Times New Roman" w:hAnsi="Times New Roman" w:eastAsia="仿宋_GB2312"/>
          <w:sz w:val="30"/>
        </w:rPr>
        <w:t>详见附表。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</w:rPr>
        <w:t>四、其他说明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 w:cs="Times New Roman"/>
          <w:sz w:val="30"/>
        </w:rPr>
        <w:t>集中式生活饮用水水</w:t>
      </w:r>
      <w:r>
        <w:rPr>
          <w:rFonts w:hint="eastAsia" w:ascii="Times New Roman" w:hAnsi="Times New Roman" w:eastAsia="仿宋_GB2312"/>
          <w:sz w:val="30"/>
        </w:rPr>
        <w:t>源，是指进入输水管网送到用户的和具有一定取水规模（供水人口一般大于1000人）的在用、备用和规划水源。集中式生活饮用水水源和饮用水的区别在于：饮用水水源为原水，而居民饮用水为末梢水，水源水经自来水厂净化处理达到《生活饮用水卫生标准》的要求后，进入居民供水系统作为饮用水。根据嘉兴市城乡规划建设管理委员会公告，嘉兴市区城市公共供水水质结果均为合格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w:t>五、全市饮用水源地水质达标率变化趋势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0"/>
        </w:rPr>
        <w:t>近年来我市饮用水水源地达标率逐年升高，从2011年的达标率为零，到目前达标率已经升高至100%。</w:t>
      </w:r>
    </w:p>
    <w:p>
      <w:pPr>
        <w:adjustRightInd w:val="0"/>
        <w:snapToGrid w:val="0"/>
        <w:spacing w:line="362" w:lineRule="auto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黑体"/>
          <w:sz w:val="30"/>
        </w:rPr>
        <w:t xml:space="preserve"> </w:t>
      </w:r>
      <w:r>
        <w:rPr>
          <w:rFonts w:ascii="Times New Roman" w:hAnsi="Times New Roman" w:eastAsia="黑体"/>
          <w:sz w:val="32"/>
        </w:rPr>
        <w:t>附表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r>
        <w:rPr>
          <w:rFonts w:ascii="Times New Roman" w:hAnsi="Times New Roman" w:eastAsia="方正小标宋_GBK"/>
          <w:sz w:val="28"/>
          <w:szCs w:val="28"/>
        </w:rPr>
        <w:t>20</w:t>
      </w: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11-202</w:t>
      </w:r>
      <w:r>
        <w:rPr>
          <w:rFonts w:hint="eastAsia" w:eastAsia="方正小标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小标宋_GBK"/>
          <w:sz w:val="28"/>
          <w:szCs w:val="28"/>
        </w:rPr>
        <w:t>年</w:t>
      </w:r>
      <w:r>
        <w:rPr>
          <w:rFonts w:hint="eastAsia" w:eastAsia="方正小标宋_GBK"/>
          <w:sz w:val="28"/>
          <w:szCs w:val="28"/>
          <w:lang w:val="en-US" w:eastAsia="zh-CN"/>
        </w:rPr>
        <w:t>6月</w:t>
      </w:r>
      <w:r>
        <w:rPr>
          <w:rFonts w:ascii="Times New Roman" w:hAnsi="Times New Roman" w:eastAsia="方正小标宋_GBK"/>
          <w:sz w:val="28"/>
          <w:szCs w:val="28"/>
        </w:rPr>
        <w:t>嘉兴市集中式饮用水水源</w:t>
      </w:r>
      <w:r>
        <w:rPr>
          <w:rFonts w:hint="eastAsia" w:ascii="Times New Roman" w:hAnsi="Times New Roman" w:eastAsia="方正小标宋_GBK"/>
          <w:sz w:val="28"/>
          <w:szCs w:val="28"/>
          <w:lang w:eastAsia="zh-CN"/>
        </w:rPr>
        <w:t>地</w:t>
      </w:r>
      <w:r>
        <w:rPr>
          <w:rFonts w:ascii="Times New Roman" w:hAnsi="Times New Roman" w:eastAsia="方正小标宋_GBK"/>
          <w:sz w:val="28"/>
          <w:szCs w:val="28"/>
        </w:rPr>
        <w:t>水质</w:t>
      </w:r>
      <w:r>
        <w:rPr>
          <w:rFonts w:hint="eastAsia" w:ascii="Times New Roman" w:hAnsi="Times New Roman" w:eastAsia="方正小标宋_GBK"/>
          <w:sz w:val="28"/>
          <w:szCs w:val="28"/>
          <w:lang w:eastAsia="zh-CN"/>
        </w:rPr>
        <w:t>达标率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4445</wp:posOffset>
            </wp:positionV>
            <wp:extent cx="7344410" cy="2847975"/>
            <wp:effectExtent l="4445" t="4445" r="23495" b="508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eastAsia="方正小标宋_GBK"/>
          <w:sz w:val="36"/>
          <w:szCs w:val="36"/>
        </w:rPr>
        <w:t>20</w:t>
      </w:r>
      <w:r>
        <w:rPr>
          <w:rFonts w:hint="eastAsia" w:ascii="Times New Roman" w:hAnsi="Times New Roman" w:eastAsia="方正小标宋_GBK"/>
          <w:sz w:val="36"/>
          <w:szCs w:val="36"/>
        </w:rPr>
        <w:t>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/>
          <w:sz w:val="36"/>
          <w:szCs w:val="36"/>
        </w:rPr>
        <w:t>年</w:t>
      </w:r>
      <w:r>
        <w:rPr>
          <w:rFonts w:hint="eastAsia" w:eastAsia="方正小标宋_GBK"/>
          <w:color w:val="000000"/>
          <w:sz w:val="36"/>
          <w:szCs w:val="36"/>
          <w:lang w:val="en-US" w:eastAsia="zh-CN"/>
        </w:rPr>
        <w:t>6</w:t>
      </w:r>
      <w:r>
        <w:rPr>
          <w:rFonts w:ascii="Times New Roman" w:hAnsi="Times New Roman" w:eastAsia="方正小标宋_GBK"/>
          <w:sz w:val="36"/>
          <w:szCs w:val="36"/>
        </w:rPr>
        <w:t>月嘉兴市集中式饮用水水源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地</w:t>
      </w:r>
      <w:r>
        <w:rPr>
          <w:rFonts w:ascii="Times New Roman" w:hAnsi="Times New Roman" w:eastAsia="方正小标宋_GBK"/>
          <w:sz w:val="36"/>
          <w:szCs w:val="36"/>
        </w:rPr>
        <w:t>水质状况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77"/>
        <w:gridCol w:w="2175"/>
        <w:gridCol w:w="1305"/>
        <w:gridCol w:w="885"/>
        <w:gridCol w:w="840"/>
        <w:gridCol w:w="14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城市名称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水源地名称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水厂名称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水质类别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达标情况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嘉兴市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hint="eastAsia" w:ascii="Times New Roman" w:hAnsi="Times New Roman" w:eastAsia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新塍塘</w:t>
            </w:r>
            <w:r>
              <w:rPr>
                <w:rFonts w:hint="eastAsia"/>
                <w:bCs/>
                <w:kern w:val="0"/>
                <w:sz w:val="22"/>
                <w:szCs w:val="22"/>
                <w:lang w:eastAsia="zh-CN"/>
              </w:rPr>
              <w:t>嘉兴水源地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石臼漾水厂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</w:rPr>
              <w:t>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嘉兴市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hint="eastAsia" w:ascii="Times New Roman" w:hAnsi="Times New Roman" w:eastAsia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/>
                <w:bCs/>
                <w:kern w:val="0"/>
                <w:sz w:val="22"/>
                <w:szCs w:val="22"/>
              </w:rPr>
              <w:t>长水</w:t>
            </w:r>
            <w:r>
              <w:rPr>
                <w:rFonts w:ascii="Times New Roman"/>
                <w:bCs/>
                <w:kern w:val="0"/>
                <w:sz w:val="22"/>
                <w:szCs w:val="22"/>
              </w:rPr>
              <w:t>塘</w:t>
            </w:r>
            <w:r>
              <w:rPr>
                <w:rFonts w:hint="eastAsia"/>
                <w:bCs/>
                <w:kern w:val="0"/>
                <w:sz w:val="22"/>
                <w:szCs w:val="22"/>
                <w:lang w:eastAsia="zh-CN"/>
              </w:rPr>
              <w:t>嘉兴水源地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贯泾港水厂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Ⅱ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/</w:t>
            </w:r>
          </w:p>
        </w:tc>
      </w:tr>
    </w:tbl>
    <w:p/>
    <w:p/>
    <w:p>
      <w:pPr>
        <w:adjustRightInd w:val="0"/>
        <w:snapToGrid w:val="0"/>
        <w:spacing w:line="362" w:lineRule="auto"/>
        <w:jc w:val="both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DUyODFkZTA2MDk3OWM4M2M2NTY4MTkzNzZlODYifQ=="/>
  </w:docVars>
  <w:rsids>
    <w:rsidRoot w:val="00534EC4"/>
    <w:rsid w:val="000032CC"/>
    <w:rsid w:val="00014B06"/>
    <w:rsid w:val="0002060E"/>
    <w:rsid w:val="00020FD5"/>
    <w:rsid w:val="00043DC7"/>
    <w:rsid w:val="00070B21"/>
    <w:rsid w:val="000B0E8F"/>
    <w:rsid w:val="000B7705"/>
    <w:rsid w:val="000E7AD3"/>
    <w:rsid w:val="001125DD"/>
    <w:rsid w:val="0011373E"/>
    <w:rsid w:val="00115EB2"/>
    <w:rsid w:val="001216C6"/>
    <w:rsid w:val="001B2E3D"/>
    <w:rsid w:val="001D7875"/>
    <w:rsid w:val="001F17D7"/>
    <w:rsid w:val="001F6686"/>
    <w:rsid w:val="002656B3"/>
    <w:rsid w:val="0028367E"/>
    <w:rsid w:val="0028765B"/>
    <w:rsid w:val="00294072"/>
    <w:rsid w:val="002B0428"/>
    <w:rsid w:val="002D3044"/>
    <w:rsid w:val="002F23CF"/>
    <w:rsid w:val="002F472B"/>
    <w:rsid w:val="00354E26"/>
    <w:rsid w:val="003B788E"/>
    <w:rsid w:val="003B78CA"/>
    <w:rsid w:val="003C47AD"/>
    <w:rsid w:val="003C6A97"/>
    <w:rsid w:val="003F1978"/>
    <w:rsid w:val="003F37A5"/>
    <w:rsid w:val="003F3ACE"/>
    <w:rsid w:val="004B3F11"/>
    <w:rsid w:val="004C0EE0"/>
    <w:rsid w:val="004E6E70"/>
    <w:rsid w:val="004F23BA"/>
    <w:rsid w:val="00505400"/>
    <w:rsid w:val="00515F2E"/>
    <w:rsid w:val="0051779E"/>
    <w:rsid w:val="00526118"/>
    <w:rsid w:val="00534EC4"/>
    <w:rsid w:val="005C5D81"/>
    <w:rsid w:val="005D6351"/>
    <w:rsid w:val="00627974"/>
    <w:rsid w:val="00647275"/>
    <w:rsid w:val="00673E09"/>
    <w:rsid w:val="00677ED1"/>
    <w:rsid w:val="006F1C5A"/>
    <w:rsid w:val="006F6350"/>
    <w:rsid w:val="00707E53"/>
    <w:rsid w:val="00716166"/>
    <w:rsid w:val="00720332"/>
    <w:rsid w:val="007214B2"/>
    <w:rsid w:val="00733BED"/>
    <w:rsid w:val="00741E0A"/>
    <w:rsid w:val="00755E87"/>
    <w:rsid w:val="00761D85"/>
    <w:rsid w:val="00770E48"/>
    <w:rsid w:val="00794EFD"/>
    <w:rsid w:val="007B3D49"/>
    <w:rsid w:val="007B626E"/>
    <w:rsid w:val="007F3263"/>
    <w:rsid w:val="00811293"/>
    <w:rsid w:val="008176AA"/>
    <w:rsid w:val="008615F7"/>
    <w:rsid w:val="00870CF0"/>
    <w:rsid w:val="0087667E"/>
    <w:rsid w:val="00893DEC"/>
    <w:rsid w:val="008A2335"/>
    <w:rsid w:val="008C7327"/>
    <w:rsid w:val="008F4090"/>
    <w:rsid w:val="00915AEA"/>
    <w:rsid w:val="0092308E"/>
    <w:rsid w:val="00933628"/>
    <w:rsid w:val="009E24C9"/>
    <w:rsid w:val="009F19C4"/>
    <w:rsid w:val="00A05920"/>
    <w:rsid w:val="00A05BE1"/>
    <w:rsid w:val="00A13247"/>
    <w:rsid w:val="00A4255E"/>
    <w:rsid w:val="00A55364"/>
    <w:rsid w:val="00A56AD6"/>
    <w:rsid w:val="00A84117"/>
    <w:rsid w:val="00A86321"/>
    <w:rsid w:val="00B066E4"/>
    <w:rsid w:val="00B12183"/>
    <w:rsid w:val="00B45D6C"/>
    <w:rsid w:val="00B75852"/>
    <w:rsid w:val="00BB7DFC"/>
    <w:rsid w:val="00BD6577"/>
    <w:rsid w:val="00C21BF6"/>
    <w:rsid w:val="00C21F0A"/>
    <w:rsid w:val="00C60E18"/>
    <w:rsid w:val="00C71CAB"/>
    <w:rsid w:val="00CA7093"/>
    <w:rsid w:val="00CD410C"/>
    <w:rsid w:val="00D05854"/>
    <w:rsid w:val="00D0625F"/>
    <w:rsid w:val="00D162B9"/>
    <w:rsid w:val="00D33183"/>
    <w:rsid w:val="00D42A22"/>
    <w:rsid w:val="00D66A44"/>
    <w:rsid w:val="00D9760A"/>
    <w:rsid w:val="00DD308B"/>
    <w:rsid w:val="00E156BB"/>
    <w:rsid w:val="00E214D9"/>
    <w:rsid w:val="00E52803"/>
    <w:rsid w:val="00E6547A"/>
    <w:rsid w:val="00E71CBB"/>
    <w:rsid w:val="00E86CB7"/>
    <w:rsid w:val="00E90BD7"/>
    <w:rsid w:val="00EC77E9"/>
    <w:rsid w:val="00ED592A"/>
    <w:rsid w:val="00F33733"/>
    <w:rsid w:val="00F50531"/>
    <w:rsid w:val="01A9157E"/>
    <w:rsid w:val="024A0CE6"/>
    <w:rsid w:val="02F14E23"/>
    <w:rsid w:val="02FD3D1E"/>
    <w:rsid w:val="034F2928"/>
    <w:rsid w:val="03895DDA"/>
    <w:rsid w:val="04922549"/>
    <w:rsid w:val="053A2EA2"/>
    <w:rsid w:val="059B5442"/>
    <w:rsid w:val="072417F9"/>
    <w:rsid w:val="07421B37"/>
    <w:rsid w:val="08572EC1"/>
    <w:rsid w:val="08D8516E"/>
    <w:rsid w:val="08F615FD"/>
    <w:rsid w:val="091C2A9B"/>
    <w:rsid w:val="09743677"/>
    <w:rsid w:val="0A372E64"/>
    <w:rsid w:val="0B845139"/>
    <w:rsid w:val="0BC343A8"/>
    <w:rsid w:val="0C3569A2"/>
    <w:rsid w:val="0C457285"/>
    <w:rsid w:val="0DA675E9"/>
    <w:rsid w:val="0FAA4741"/>
    <w:rsid w:val="0FE95EB3"/>
    <w:rsid w:val="105F6C07"/>
    <w:rsid w:val="10755860"/>
    <w:rsid w:val="11A37065"/>
    <w:rsid w:val="125538B5"/>
    <w:rsid w:val="12843C8A"/>
    <w:rsid w:val="13822B41"/>
    <w:rsid w:val="13977064"/>
    <w:rsid w:val="1437543F"/>
    <w:rsid w:val="150043AC"/>
    <w:rsid w:val="158E005C"/>
    <w:rsid w:val="15A11D7B"/>
    <w:rsid w:val="160F09DB"/>
    <w:rsid w:val="166517F3"/>
    <w:rsid w:val="168E31AE"/>
    <w:rsid w:val="1776627E"/>
    <w:rsid w:val="178A6686"/>
    <w:rsid w:val="180B151B"/>
    <w:rsid w:val="18BA2B3C"/>
    <w:rsid w:val="19480847"/>
    <w:rsid w:val="19D717B1"/>
    <w:rsid w:val="19F25088"/>
    <w:rsid w:val="1A455846"/>
    <w:rsid w:val="1A6525DA"/>
    <w:rsid w:val="1AC8175A"/>
    <w:rsid w:val="1AD612CC"/>
    <w:rsid w:val="1B6E74D7"/>
    <w:rsid w:val="1BDD66FE"/>
    <w:rsid w:val="1BF754B3"/>
    <w:rsid w:val="1C2C3582"/>
    <w:rsid w:val="1C346708"/>
    <w:rsid w:val="1CB415D7"/>
    <w:rsid w:val="1CBB72C7"/>
    <w:rsid w:val="1DE0470B"/>
    <w:rsid w:val="1F861E2C"/>
    <w:rsid w:val="2006322C"/>
    <w:rsid w:val="206550E2"/>
    <w:rsid w:val="20E8198A"/>
    <w:rsid w:val="22196184"/>
    <w:rsid w:val="222114DC"/>
    <w:rsid w:val="22E94A7C"/>
    <w:rsid w:val="2366001F"/>
    <w:rsid w:val="23BC307A"/>
    <w:rsid w:val="24441866"/>
    <w:rsid w:val="24C0728A"/>
    <w:rsid w:val="25036AC4"/>
    <w:rsid w:val="278E4F1E"/>
    <w:rsid w:val="27B65428"/>
    <w:rsid w:val="285137E2"/>
    <w:rsid w:val="29662637"/>
    <w:rsid w:val="2A3241FE"/>
    <w:rsid w:val="2C963B45"/>
    <w:rsid w:val="2CBD62DC"/>
    <w:rsid w:val="2D322FBA"/>
    <w:rsid w:val="2F2B2677"/>
    <w:rsid w:val="2FCB369D"/>
    <w:rsid w:val="304C3BC8"/>
    <w:rsid w:val="31A2275D"/>
    <w:rsid w:val="33244988"/>
    <w:rsid w:val="35973B37"/>
    <w:rsid w:val="36AF6C5F"/>
    <w:rsid w:val="36B77823"/>
    <w:rsid w:val="37A75B88"/>
    <w:rsid w:val="3811503A"/>
    <w:rsid w:val="386D433A"/>
    <w:rsid w:val="393B2A2C"/>
    <w:rsid w:val="39A54C0D"/>
    <w:rsid w:val="3A6221E6"/>
    <w:rsid w:val="3C971533"/>
    <w:rsid w:val="3E04577C"/>
    <w:rsid w:val="3E622809"/>
    <w:rsid w:val="3ED229D7"/>
    <w:rsid w:val="3EFD399D"/>
    <w:rsid w:val="3FCE63A8"/>
    <w:rsid w:val="417C51D2"/>
    <w:rsid w:val="423D2911"/>
    <w:rsid w:val="433C7419"/>
    <w:rsid w:val="43537488"/>
    <w:rsid w:val="45F823D0"/>
    <w:rsid w:val="46916EDC"/>
    <w:rsid w:val="47841BE7"/>
    <w:rsid w:val="48123E7F"/>
    <w:rsid w:val="48340E6B"/>
    <w:rsid w:val="488717E9"/>
    <w:rsid w:val="49066468"/>
    <w:rsid w:val="4A901097"/>
    <w:rsid w:val="4AB44571"/>
    <w:rsid w:val="4ACC7988"/>
    <w:rsid w:val="4B0F606E"/>
    <w:rsid w:val="4DD268DD"/>
    <w:rsid w:val="4EA56458"/>
    <w:rsid w:val="4EAA4292"/>
    <w:rsid w:val="4EB170DC"/>
    <w:rsid w:val="4EF65B55"/>
    <w:rsid w:val="4F753FE3"/>
    <w:rsid w:val="4FAF6BA8"/>
    <w:rsid w:val="4FDD55AF"/>
    <w:rsid w:val="4FE47521"/>
    <w:rsid w:val="50E110C2"/>
    <w:rsid w:val="51EE62D8"/>
    <w:rsid w:val="521B2D86"/>
    <w:rsid w:val="52EC2B50"/>
    <w:rsid w:val="5369559A"/>
    <w:rsid w:val="540C4216"/>
    <w:rsid w:val="54624EB9"/>
    <w:rsid w:val="546B380A"/>
    <w:rsid w:val="553A02C3"/>
    <w:rsid w:val="55F73228"/>
    <w:rsid w:val="563412E5"/>
    <w:rsid w:val="56775126"/>
    <w:rsid w:val="56EC7480"/>
    <w:rsid w:val="57245108"/>
    <w:rsid w:val="575C4340"/>
    <w:rsid w:val="57A30863"/>
    <w:rsid w:val="5914604F"/>
    <w:rsid w:val="599E2888"/>
    <w:rsid w:val="5A494D86"/>
    <w:rsid w:val="5ACA57DD"/>
    <w:rsid w:val="5B136E1B"/>
    <w:rsid w:val="5C190436"/>
    <w:rsid w:val="5D2F5727"/>
    <w:rsid w:val="5DD45079"/>
    <w:rsid w:val="5DEB4749"/>
    <w:rsid w:val="5E452D19"/>
    <w:rsid w:val="5E603FD8"/>
    <w:rsid w:val="5EE23746"/>
    <w:rsid w:val="5FD27C3A"/>
    <w:rsid w:val="60DF3E8E"/>
    <w:rsid w:val="60E45C57"/>
    <w:rsid w:val="610F7037"/>
    <w:rsid w:val="61B57372"/>
    <w:rsid w:val="628E465D"/>
    <w:rsid w:val="62C50C1B"/>
    <w:rsid w:val="648933AB"/>
    <w:rsid w:val="66C72274"/>
    <w:rsid w:val="677A0436"/>
    <w:rsid w:val="67EC1211"/>
    <w:rsid w:val="680718F9"/>
    <w:rsid w:val="68F3736B"/>
    <w:rsid w:val="6A792C30"/>
    <w:rsid w:val="6AB01460"/>
    <w:rsid w:val="6B740810"/>
    <w:rsid w:val="6BDB6E9F"/>
    <w:rsid w:val="6C5A1B00"/>
    <w:rsid w:val="6F107C84"/>
    <w:rsid w:val="70774597"/>
    <w:rsid w:val="714A7E46"/>
    <w:rsid w:val="731D2840"/>
    <w:rsid w:val="73C50EEF"/>
    <w:rsid w:val="73C9275B"/>
    <w:rsid w:val="74AD7CDD"/>
    <w:rsid w:val="74B27EC1"/>
    <w:rsid w:val="74C2163A"/>
    <w:rsid w:val="751F3C70"/>
    <w:rsid w:val="756F2168"/>
    <w:rsid w:val="75B90C31"/>
    <w:rsid w:val="782F42B0"/>
    <w:rsid w:val="78BE4504"/>
    <w:rsid w:val="78F52467"/>
    <w:rsid w:val="79DD5944"/>
    <w:rsid w:val="7B851309"/>
    <w:rsid w:val="7C1C6CB0"/>
    <w:rsid w:val="7CC54424"/>
    <w:rsid w:val="7D450D50"/>
    <w:rsid w:val="7F2860B4"/>
    <w:rsid w:val="7F624608"/>
    <w:rsid w:val="7F74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水质达标率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  <c:pt idx="6">
                  <c:v>2017年</c:v>
                </c:pt>
                <c:pt idx="7">
                  <c:v>2018年</c:v>
                </c:pt>
                <c:pt idx="8">
                  <c:v>2019年</c:v>
                </c:pt>
                <c:pt idx="9">
                  <c:v>2020年</c:v>
                </c:pt>
                <c:pt idx="10">
                  <c:v>2021年</c:v>
                </c:pt>
                <c:pt idx="11" c:formatCode="yyyy&quot;年&quot;m&quot;月&quot;">
                  <c:v>2022年1-6月</c:v>
                </c:pt>
              </c:strCache>
            </c:strRef>
          </c:cat>
          <c:val>
            <c:numRef>
              <c:f>Sheet1!$B$2:$B$13</c:f>
              <c:numCache>
                <c:formatCode>0%</c:formatCode>
                <c:ptCount val="12"/>
                <c:pt idx="0">
                  <c:v>0</c:v>
                </c:pt>
                <c:pt idx="1" c:formatCode="0.0%">
                  <c:v>0.024</c:v>
                </c:pt>
                <c:pt idx="2" c:formatCode="0.0%">
                  <c:v>0.017</c:v>
                </c:pt>
                <c:pt idx="3" c:formatCode="0.0%">
                  <c:v>0.153</c:v>
                </c:pt>
                <c:pt idx="4" c:formatCode="0.0%">
                  <c:v>0.258</c:v>
                </c:pt>
                <c:pt idx="5" c:formatCode="0.0%">
                  <c:v>0.457</c:v>
                </c:pt>
                <c:pt idx="6" c:formatCode="0.0%">
                  <c:v>0.721</c:v>
                </c:pt>
                <c:pt idx="7" c:formatCode="0.0%">
                  <c:v>0.773</c:v>
                </c:pt>
                <c:pt idx="8" c:formatCode="0.0%">
                  <c:v>0.913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3158358"/>
        <c:axId val="880986442"/>
      </c:barChart>
      <c:catAx>
        <c:axId val="89315835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shade val="95000"/>
                <a:satMod val="105000"/>
              </a:sysClr>
            </a:solidFill>
            <a:prstDash val="solid"/>
            <a:round/>
          </a:ln>
          <a:sp3d>
            <a:extrusionClr>
              <a:srgbClr val="FFFFFF"/>
            </a:extrusionClr>
            <a:contourClr>
              <a:srgbClr val="FFFFFF"/>
            </a:contourClr>
          </a:sp3d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80986442"/>
        <c:crosses val="autoZero"/>
        <c:auto val="1"/>
        <c:lblAlgn val="ctr"/>
        <c:lblOffset val="100"/>
        <c:noMultiLvlLbl val="0"/>
      </c:catAx>
      <c:valAx>
        <c:axId val="88098644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315835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680</Words>
  <Characters>754</Characters>
  <Lines>5</Lines>
  <Paragraphs>1</Paragraphs>
  <TotalTime>45</TotalTime>
  <ScaleCrop>false</ScaleCrop>
  <LinksUpToDate>false</LinksUpToDate>
  <CharactersWithSpaces>771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2019-11-29T07:52:00Z</dcterms:created>
  <dc:creator>Administrator</dc:creator>
  <cp:lastModifiedBy>lily</cp:lastModifiedBy>
  <cp:lastPrinted>2019-12-06T03:27:00Z</cp:lastPrinted>
  <dcterms:modified xsi:type="dcterms:W3CDTF">2022-07-20T09:00:24Z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AD0FED50DE1E4FAF9FD2310ECA94F4C3</vt:lpwstr>
  </property>
</Properties>
</file>