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A" w:rsidRDefault="00E35C88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关于</w:t>
      </w:r>
      <w:r w:rsidR="006D74AA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2022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年</w:t>
      </w:r>
      <w:r w:rsidR="00952F63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2</w:t>
      </w:r>
      <w:r w:rsidR="00E959F4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月全市政府网站检查情况</w:t>
      </w:r>
      <w:r w:rsidR="004E415B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的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通报</w:t>
      </w:r>
    </w:p>
    <w:p w:rsidR="00E40DAA" w:rsidRDefault="00E40DAA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</w:p>
    <w:p w:rsidR="00E40DAA" w:rsidRDefault="00E35C88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按照《国务院办公厅秘书局关于印发政府网站与政务新媒体检查指标、监管工作年度考核指标的通知》（国办秘函〔2019〕19号）要求，市大数据中心组织开展了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月政府网站检查工作。现将有关情况通报如下：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一、总体情况</w:t>
      </w:r>
    </w:p>
    <w:p w:rsidR="00E40DAA" w:rsidRDefault="00E35C88" w:rsidP="00776D87">
      <w:pPr>
        <w:autoSpaceDE w:val="0"/>
        <w:autoSpaceDN w:val="0"/>
        <w:adjustRightIn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（一）</w:t>
      </w:r>
      <w:r w:rsidR="00952F6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2022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</w:t>
      </w:r>
      <w:r w:rsidR="00952F6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1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月问题整改情况。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月检查发现的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个问题政府网站的相关问题，经复查均已落实整改。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（二）</w:t>
      </w:r>
      <w:r w:rsidR="006E76BE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2022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</w:t>
      </w:r>
      <w:r w:rsidR="00952F6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月检查情况。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月，对全市正常运行的43个政府网站进行了全覆盖检查，发现问题网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站</w:t>
      </w:r>
      <w:r w:rsidR="00952F63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二、存在的问题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网站规范管理需进一步加强。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主要表现为部分网站仍存在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严重表述错误、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栏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目空白或应更新未更新、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网站名称未规范展示、底部标识链接不正确、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页面链接打不开、链接错误、网页标签不规范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等问题。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三、下一步工作要求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（一）进一步压实主管责任。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各县（市、区）、各部门（单位）网站主管部</w:t>
      </w:r>
      <w:bookmarkStart w:id="0" w:name="_GoBack"/>
      <w:bookmarkEnd w:id="0"/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门要切实提高政治站位，履行好管理责任，进一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步加强日常巡检、监督检查，对日常监测、月度检查中发现的问题，严肃认真对照整改，确保网站正常运行。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（二）全面提升网站建设水平。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要严格落实网站发展指引要求，政府网站在所有页面中设置相关标签，在页面源代码中以meta标签的形式，对网站名称、政府网站标识码、栏目类别等关键要素进行标记；要加强对网站域名的规范使用，原域名要及时注销，避免出现多域名使用的现象；要加强涉及面广、社会关注度高的文件政策解读，聚焦重点内容，丰富解读形式，提高解读质量。此外，还需定期梳理网民咨询留言，进一步提高简单咨询1个工作日答复的质量，主动为网民关切的热点问题解惑答疑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（三）及时整改问题网站。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针对本次检查中发现的问题，有关单位要高度重视，采取措施立即整改。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并于</w:t>
      </w:r>
      <w:r w:rsidR="006E76BE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年</w:t>
      </w:r>
      <w:r w:rsidR="00952F63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月</w:t>
      </w:r>
      <w:r w:rsidR="00952F63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日前将整改情况通过“浙政钉”2.0报送反馈整改情况。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 w:rsidP="00BB1049">
      <w:pPr>
        <w:spacing w:line="520" w:lineRule="exact"/>
        <w:ind w:firstLineChars="250" w:firstLine="80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</w:t>
      </w:r>
      <w:r w:rsidR="006D74A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月检查问题网站名单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</w:t>
      </w:r>
    </w:p>
    <w:p w:rsidR="00E40DAA" w:rsidRDefault="00E40DAA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E40DAA" w:rsidRDefault="00E35C88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附件：</w:t>
      </w:r>
    </w:p>
    <w:p w:rsidR="00E40DAA" w:rsidRDefault="006D74AA">
      <w:pPr>
        <w:widowControl/>
        <w:shd w:val="clear" w:color="auto" w:fill="FFFFFF"/>
        <w:spacing w:line="435" w:lineRule="atLeast"/>
        <w:ind w:firstLine="480"/>
        <w:jc w:val="center"/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2022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年</w:t>
      </w:r>
      <w:r w:rsidR="00952F63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月检查问题网站名单</w:t>
      </w:r>
    </w:p>
    <w:tbl>
      <w:tblPr>
        <w:tblW w:w="9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42"/>
        <w:gridCol w:w="2235"/>
        <w:gridCol w:w="3739"/>
      </w:tblGrid>
      <w:tr w:rsidR="00E40DAA">
        <w:trPr>
          <w:trHeight w:val="49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网站标识码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存在的突出问题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952F6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330400002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C1062D" w:rsidRDefault="00C1062D" w:rsidP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自然资源和规划局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330400003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 w:rsidP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嘉兴经济技术开发区管理委员会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3304000033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  <w:tr w:rsidR="004C6BF8" w:rsidRPr="00776D87" w:rsidTr="004C6BF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52623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秀洲区人民政府网站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3304110001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6D74AA" w:rsidP="00952F6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动态类栏目未更新超过（含）5个</w:t>
            </w:r>
          </w:p>
        </w:tc>
      </w:tr>
    </w:tbl>
    <w:p w:rsidR="00E40DAA" w:rsidRDefault="00E40DAA" w:rsidP="00BB1049"/>
    <w:sectPr w:rsidR="00E40DAA" w:rsidSect="00E40DAA">
      <w:footerReference w:type="default" r:id="rId7"/>
      <w:pgSz w:w="11906" w:h="16838"/>
      <w:pgMar w:top="215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64" w:rsidRDefault="002F2964" w:rsidP="00E40DAA">
      <w:r>
        <w:separator/>
      </w:r>
    </w:p>
  </w:endnote>
  <w:endnote w:type="continuationSeparator" w:id="0">
    <w:p w:rsidR="002F2964" w:rsidRDefault="002F2964" w:rsidP="00E4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514"/>
    </w:sdtPr>
    <w:sdtContent>
      <w:p w:rsidR="00E40DAA" w:rsidRDefault="000E17F7">
        <w:pPr>
          <w:pStyle w:val="a3"/>
          <w:jc w:val="center"/>
        </w:pPr>
        <w:r w:rsidRPr="000E17F7">
          <w:fldChar w:fldCharType="begin"/>
        </w:r>
        <w:r w:rsidR="00E35C88">
          <w:instrText xml:space="preserve"> PAGE   \* MERGEFORMAT </w:instrText>
        </w:r>
        <w:r w:rsidRPr="000E17F7">
          <w:fldChar w:fldCharType="separate"/>
        </w:r>
        <w:r w:rsidR="00452623" w:rsidRPr="00452623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40DAA" w:rsidRDefault="00E40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64" w:rsidRDefault="002F2964" w:rsidP="00E40DAA">
      <w:r>
        <w:separator/>
      </w:r>
    </w:p>
  </w:footnote>
  <w:footnote w:type="continuationSeparator" w:id="0">
    <w:p w:rsidR="002F2964" w:rsidRDefault="002F2964" w:rsidP="00E4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31"/>
    <w:rsid w:val="ADFD3C31"/>
    <w:rsid w:val="DCFF119B"/>
    <w:rsid w:val="F7FF3F75"/>
    <w:rsid w:val="FE7ED352"/>
    <w:rsid w:val="0000236D"/>
    <w:rsid w:val="000429BD"/>
    <w:rsid w:val="00043FFF"/>
    <w:rsid w:val="00045E2D"/>
    <w:rsid w:val="00053130"/>
    <w:rsid w:val="000800BF"/>
    <w:rsid w:val="000D65E8"/>
    <w:rsid w:val="000E17F7"/>
    <w:rsid w:val="0014420F"/>
    <w:rsid w:val="00145595"/>
    <w:rsid w:val="0018330F"/>
    <w:rsid w:val="0027339C"/>
    <w:rsid w:val="002857B7"/>
    <w:rsid w:val="0029460E"/>
    <w:rsid w:val="002A3714"/>
    <w:rsid w:val="002C23F5"/>
    <w:rsid w:val="002D3C89"/>
    <w:rsid w:val="002E40BB"/>
    <w:rsid w:val="002E7039"/>
    <w:rsid w:val="002F2964"/>
    <w:rsid w:val="002F2D22"/>
    <w:rsid w:val="003114E1"/>
    <w:rsid w:val="00315736"/>
    <w:rsid w:val="00357845"/>
    <w:rsid w:val="00370289"/>
    <w:rsid w:val="003D3F74"/>
    <w:rsid w:val="004008AF"/>
    <w:rsid w:val="00425706"/>
    <w:rsid w:val="004321AF"/>
    <w:rsid w:val="004421AF"/>
    <w:rsid w:val="00452623"/>
    <w:rsid w:val="0047635C"/>
    <w:rsid w:val="004A66FF"/>
    <w:rsid w:val="004C6BF8"/>
    <w:rsid w:val="004D2937"/>
    <w:rsid w:val="004E415B"/>
    <w:rsid w:val="00502F45"/>
    <w:rsid w:val="00507AB5"/>
    <w:rsid w:val="0052286B"/>
    <w:rsid w:val="0053185D"/>
    <w:rsid w:val="005528A3"/>
    <w:rsid w:val="005560AF"/>
    <w:rsid w:val="00571A56"/>
    <w:rsid w:val="005A5F78"/>
    <w:rsid w:val="0064336A"/>
    <w:rsid w:val="006C42FF"/>
    <w:rsid w:val="006D74AA"/>
    <w:rsid w:val="006E371F"/>
    <w:rsid w:val="006E583A"/>
    <w:rsid w:val="006E76BE"/>
    <w:rsid w:val="00710AEB"/>
    <w:rsid w:val="00712FE2"/>
    <w:rsid w:val="007324D3"/>
    <w:rsid w:val="00746FDA"/>
    <w:rsid w:val="007616EC"/>
    <w:rsid w:val="00776D87"/>
    <w:rsid w:val="00783D1A"/>
    <w:rsid w:val="00787950"/>
    <w:rsid w:val="00810459"/>
    <w:rsid w:val="008111F6"/>
    <w:rsid w:val="0082122B"/>
    <w:rsid w:val="00823C3D"/>
    <w:rsid w:val="008C315B"/>
    <w:rsid w:val="0091490D"/>
    <w:rsid w:val="0091719A"/>
    <w:rsid w:val="009403C6"/>
    <w:rsid w:val="00952F63"/>
    <w:rsid w:val="009650ED"/>
    <w:rsid w:val="00966727"/>
    <w:rsid w:val="009C733F"/>
    <w:rsid w:val="009E6725"/>
    <w:rsid w:val="009F1671"/>
    <w:rsid w:val="009F75DF"/>
    <w:rsid w:val="00A64DA4"/>
    <w:rsid w:val="00A71DD7"/>
    <w:rsid w:val="00A76FB4"/>
    <w:rsid w:val="00AB522F"/>
    <w:rsid w:val="00AC648A"/>
    <w:rsid w:val="00AD75C8"/>
    <w:rsid w:val="00B90C11"/>
    <w:rsid w:val="00BB1049"/>
    <w:rsid w:val="00BB5AF1"/>
    <w:rsid w:val="00BF4372"/>
    <w:rsid w:val="00C1062D"/>
    <w:rsid w:val="00C47BF7"/>
    <w:rsid w:val="00C90D92"/>
    <w:rsid w:val="00CB6E4C"/>
    <w:rsid w:val="00CF1ADC"/>
    <w:rsid w:val="00CF2C31"/>
    <w:rsid w:val="00D105A2"/>
    <w:rsid w:val="00D1167C"/>
    <w:rsid w:val="00D11EA7"/>
    <w:rsid w:val="00D34BC7"/>
    <w:rsid w:val="00D767B4"/>
    <w:rsid w:val="00DA12C7"/>
    <w:rsid w:val="00DC34DB"/>
    <w:rsid w:val="00E04755"/>
    <w:rsid w:val="00E35C88"/>
    <w:rsid w:val="00E40DAA"/>
    <w:rsid w:val="00E92578"/>
    <w:rsid w:val="00E959F4"/>
    <w:rsid w:val="00EA15B9"/>
    <w:rsid w:val="00EC3C3B"/>
    <w:rsid w:val="00EE0F58"/>
    <w:rsid w:val="00F44589"/>
    <w:rsid w:val="00F67152"/>
    <w:rsid w:val="00F714BC"/>
    <w:rsid w:val="2BFD70DB"/>
    <w:rsid w:val="59FF7D8F"/>
    <w:rsid w:val="5AFFBDEC"/>
    <w:rsid w:val="6BE6231A"/>
    <w:rsid w:val="77DFE735"/>
    <w:rsid w:val="79F4EDA3"/>
    <w:rsid w:val="7B7FCDEA"/>
    <w:rsid w:val="7BFF9D37"/>
    <w:rsid w:val="7F77957F"/>
    <w:rsid w:val="7FF7C1F1"/>
    <w:rsid w:val="7F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E4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0D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0DAA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E40DAA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E40DA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DA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776D87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6D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关于2021年四月份全市政府网站检查情况的通报</dc:title>
  <dc:creator>HP</dc:creator>
  <cp:lastModifiedBy>HP</cp:lastModifiedBy>
  <cp:revision>8</cp:revision>
  <dcterms:created xsi:type="dcterms:W3CDTF">2022-01-21T02:34:00Z</dcterms:created>
  <dcterms:modified xsi:type="dcterms:W3CDTF">2022-02-23T06:15:00Z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